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07CFC" w14:textId="77777777" w:rsidR="0095520C" w:rsidRDefault="0095520C" w:rsidP="0095520C">
      <w:pPr>
        <w:spacing w:line="800" w:lineRule="atLeast"/>
        <w:jc w:val="center"/>
        <w:rPr>
          <w:rFonts w:ascii="宋体"/>
          <w:b/>
          <w:bCs/>
          <w:color w:val="FF0000"/>
          <w:sz w:val="100"/>
        </w:rPr>
      </w:pPr>
      <w:bookmarkStart w:id="0" w:name="_Hlk37166458"/>
      <w:bookmarkEnd w:id="0"/>
      <w:r>
        <w:rPr>
          <w:rFonts w:ascii="宋体" w:hint="eastAsia"/>
          <w:b/>
          <w:bCs/>
          <w:color w:val="FF0000"/>
          <w:sz w:val="100"/>
        </w:rPr>
        <w:t>工</w:t>
      </w:r>
      <w:r>
        <w:rPr>
          <w:rFonts w:ascii="宋体" w:hint="eastAsia"/>
          <w:b/>
          <w:bCs/>
          <w:color w:val="FF0000"/>
          <w:sz w:val="100"/>
        </w:rPr>
        <w:t xml:space="preserve"> </w:t>
      </w:r>
      <w:r>
        <w:rPr>
          <w:rFonts w:ascii="宋体" w:hint="eastAsia"/>
          <w:b/>
          <w:bCs/>
          <w:color w:val="FF0000"/>
          <w:sz w:val="100"/>
        </w:rPr>
        <w:t>作</w:t>
      </w:r>
      <w:r>
        <w:rPr>
          <w:rFonts w:ascii="宋体" w:hint="eastAsia"/>
          <w:b/>
          <w:bCs/>
          <w:color w:val="FF0000"/>
          <w:sz w:val="100"/>
        </w:rPr>
        <w:t xml:space="preserve"> </w:t>
      </w:r>
      <w:r>
        <w:rPr>
          <w:rFonts w:ascii="宋体" w:hint="eastAsia"/>
          <w:b/>
          <w:bCs/>
          <w:color w:val="FF0000"/>
          <w:sz w:val="100"/>
        </w:rPr>
        <w:t>简</w:t>
      </w:r>
      <w:r>
        <w:rPr>
          <w:rFonts w:ascii="宋体" w:hint="eastAsia"/>
          <w:b/>
          <w:bCs/>
          <w:color w:val="FF0000"/>
          <w:sz w:val="100"/>
        </w:rPr>
        <w:t xml:space="preserve"> </w:t>
      </w:r>
      <w:r>
        <w:rPr>
          <w:rFonts w:ascii="宋体" w:hint="eastAsia"/>
          <w:b/>
          <w:bCs/>
          <w:color w:val="FF0000"/>
          <w:sz w:val="100"/>
        </w:rPr>
        <w:t>报</w:t>
      </w:r>
    </w:p>
    <w:p w14:paraId="60A797A0" w14:textId="260BAFAB" w:rsidR="0095520C" w:rsidRDefault="0095520C" w:rsidP="0095520C">
      <w:pPr>
        <w:spacing w:line="800" w:lineRule="exact"/>
        <w:jc w:val="center"/>
        <w:outlineLvl w:val="0"/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sz w:val="30"/>
        </w:rPr>
        <w:t>201</w:t>
      </w:r>
      <w:r>
        <w:rPr>
          <w:rFonts w:ascii="仿宋_GB2312" w:eastAsia="仿宋_GB2312"/>
          <w:sz w:val="30"/>
        </w:rPr>
        <w:t>9</w:t>
      </w:r>
      <w:r>
        <w:rPr>
          <w:rFonts w:ascii="仿宋_GB2312" w:eastAsia="仿宋_GB2312" w:hint="eastAsia"/>
          <w:sz w:val="30"/>
        </w:rPr>
        <w:t>/20</w:t>
      </w:r>
      <w:r>
        <w:rPr>
          <w:rFonts w:ascii="仿宋_GB2312" w:eastAsia="仿宋_GB2312"/>
          <w:sz w:val="30"/>
        </w:rPr>
        <w:t>20</w:t>
      </w:r>
      <w:r>
        <w:rPr>
          <w:rFonts w:ascii="仿宋_GB2312" w:eastAsia="仿宋_GB2312" w:hint="eastAsia"/>
          <w:sz w:val="30"/>
        </w:rPr>
        <w:t xml:space="preserve">学年 </w:t>
      </w:r>
      <w:r>
        <w:rPr>
          <w:rFonts w:ascii="仿宋_GB2312" w:eastAsia="仿宋_GB2312"/>
          <w:sz w:val="30"/>
        </w:rPr>
        <w:t xml:space="preserve">   </w:t>
      </w:r>
      <w:r>
        <w:rPr>
          <w:rFonts w:ascii="仿宋_GB2312" w:eastAsia="仿宋_GB2312" w:hint="eastAsia"/>
          <w:sz w:val="30"/>
        </w:rPr>
        <w:t>第</w:t>
      </w:r>
      <w:r>
        <w:rPr>
          <w:rFonts w:ascii="仿宋_GB2312" w:eastAsia="仿宋_GB2312"/>
          <w:sz w:val="30"/>
        </w:rPr>
        <w:t>5</w:t>
      </w:r>
      <w:r>
        <w:rPr>
          <w:rFonts w:ascii="仿宋_GB2312" w:eastAsia="仿宋_GB2312" w:hint="eastAsia"/>
          <w:sz w:val="30"/>
        </w:rPr>
        <w:t>5</w:t>
      </w:r>
      <w:r>
        <w:rPr>
          <w:rFonts w:ascii="仿宋_GB2312" w:eastAsia="仿宋_GB2312" w:hint="eastAsia"/>
          <w:sz w:val="30"/>
        </w:rPr>
        <w:t>期</w:t>
      </w:r>
    </w:p>
    <w:p w14:paraId="1870CB4A" w14:textId="3BA40C05" w:rsidR="0095520C" w:rsidRDefault="0095520C" w:rsidP="0095520C">
      <w:pPr>
        <w:pStyle w:val="a3"/>
        <w:spacing w:line="800" w:lineRule="exact"/>
        <w:ind w:leftChars="47" w:left="99"/>
        <w:outlineLvl w:val="0"/>
        <w:rPr>
          <w:rFonts w:cs="仿宋_GB2312"/>
        </w:rPr>
      </w:pPr>
      <w:r>
        <w:rPr>
          <w:rFonts w:ascii="黑体" w:eastAsia="黑体" w:cs="黑体"/>
          <w:noProof/>
          <w:sz w:val="20"/>
          <w:szCs w:val="36"/>
        </w:rPr>
        <mc:AlternateContent>
          <mc:Choice Requires="wps">
            <w:drawing>
              <wp:anchor distT="0" distB="0" distL="114298" distR="114298" simplePos="0" relativeHeight="251661312" behindDoc="0" locked="0" layoutInCell="1" hidden="0" allowOverlap="1" wp14:anchorId="3A339A85" wp14:editId="68BBA27A">
                <wp:simplePos x="0" y="0"/>
                <wp:positionH relativeFrom="column">
                  <wp:posOffset>0</wp:posOffset>
                </wp:positionH>
                <wp:positionV relativeFrom="paragraph">
                  <wp:posOffset>482600</wp:posOffset>
                </wp:positionV>
                <wp:extent cx="5400675" cy="0"/>
                <wp:effectExtent l="0" t="0" r="0" b="0"/>
                <wp:wrapNone/>
                <wp:docPr id="2" name="直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00675" cy="0"/>
                        </a:xfrm>
                        <a:prstGeom prst="line">
                          <a:avLst/>
                        </a:prstGeom>
                        <a:noFill/>
                        <a:ln w="57150" cap="flat" cmpd="thickThin">
                          <a:solidFill>
                            <a:srgbClr val="FF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DFDF39" id="直线 1" o:spid="_x0000_s1026" style="position:absolute;left:0;text-align:left;z-index:251661312;visibility:visible;mso-wrap-style:square;mso-wrap-distance-left:3.17494mm;mso-wrap-distance-top:0;mso-wrap-distance-right:3.17494mm;mso-wrap-distance-bottom:0;mso-position-horizontal:absolute;mso-position-horizontal-relative:text;mso-position-vertical:absolute;mso-position-vertical-relative:text" from="0,38pt" to="425.25pt,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" strokecolor="red" strokeweight="4.5pt">
                <v:stroke linestyle="thickThin"/>
                <o:lock v:ext="edit" shapetype="f"/>
              </v:line>
            </w:pict>
          </mc:Fallback>
        </mc:AlternateContent>
      </w:r>
      <w:r>
        <w:rPr>
          <w:rFonts w:hint="eastAsia"/>
        </w:rPr>
        <w:t xml:space="preserve">上海海关学院马克思主义学院    </w:t>
      </w:r>
      <w:r>
        <w:t xml:space="preserve">        </w:t>
      </w:r>
      <w:r>
        <w:rPr>
          <w:rFonts w:hint="eastAsia"/>
        </w:rPr>
        <w:t>2</w:t>
      </w:r>
      <w:r>
        <w:t>020</w:t>
      </w:r>
      <w:r>
        <w:rPr>
          <w:rFonts w:cs="仿宋_GB2312" w:hint="eastAsia"/>
        </w:rPr>
        <w:t>年</w:t>
      </w:r>
      <w:r>
        <w:rPr>
          <w:rFonts w:cs="仿宋_GB2312"/>
        </w:rPr>
        <w:t>5</w:t>
      </w:r>
      <w:r>
        <w:rPr>
          <w:rFonts w:cs="仿宋_GB2312" w:hint="eastAsia"/>
        </w:rPr>
        <w:t>月</w:t>
      </w:r>
      <w:r>
        <w:rPr>
          <w:rFonts w:cs="仿宋_GB2312"/>
        </w:rPr>
        <w:t>1</w:t>
      </w:r>
      <w:r>
        <w:rPr>
          <w:rFonts w:cs="仿宋_GB2312" w:hint="eastAsia"/>
        </w:rPr>
        <w:t>9</w:t>
      </w:r>
      <w:r>
        <w:rPr>
          <w:rFonts w:hint="eastAsia"/>
        </w:rPr>
        <w:t>日</w:t>
      </w:r>
    </w:p>
    <w:p w14:paraId="57DF34BD" w14:textId="77777777" w:rsidR="00981669" w:rsidRPr="0095520C" w:rsidRDefault="00981669" w:rsidP="00981669">
      <w:pPr>
        <w:jc w:val="center"/>
        <w:rPr>
          <w:rFonts w:ascii="方正黑体_GBK" w:eastAsia="方正黑体_GBK" w:hAnsi="方正黑体_GBK" w:cs="方正黑体_GBK"/>
          <w:sz w:val="36"/>
          <w:szCs w:val="36"/>
        </w:rPr>
      </w:pPr>
    </w:p>
    <w:p w14:paraId="67C90747" w14:textId="43D83111" w:rsidR="00981669" w:rsidRPr="0095520C" w:rsidRDefault="00981669" w:rsidP="00981669">
      <w:pPr>
        <w:jc w:val="center"/>
        <w:rPr>
          <w:rFonts w:ascii="方正黑体_GBK" w:eastAsia="方正黑体_GBK" w:hAnsi="Calibri" w:cs="Arial"/>
          <w:sz w:val="36"/>
          <w:szCs w:val="36"/>
        </w:rPr>
      </w:pPr>
      <w:r w:rsidRPr="0095520C">
        <w:rPr>
          <w:rFonts w:ascii="方正黑体_GBK" w:eastAsia="方正黑体_GBK" w:hAnsi="Calibri" w:cs="Arial" w:hint="eastAsia"/>
          <w:sz w:val="36"/>
          <w:szCs w:val="36"/>
        </w:rPr>
        <w:t>及时落实教学要点要求，推进党的创新理论三进工作</w:t>
      </w:r>
    </w:p>
    <w:p w14:paraId="2629100D" w14:textId="70121F87" w:rsidR="00981669" w:rsidRPr="0095520C" w:rsidRDefault="00981669" w:rsidP="00981669">
      <w:pPr>
        <w:jc w:val="center"/>
        <w:rPr>
          <w:rFonts w:ascii="方正黑体_GBK" w:eastAsia="方正黑体_GBK" w:hAnsi="Calibri" w:cs="Arial"/>
          <w:sz w:val="36"/>
          <w:szCs w:val="36"/>
        </w:rPr>
      </w:pPr>
      <w:r w:rsidRPr="0095520C">
        <w:rPr>
          <w:rFonts w:ascii="方正黑体_GBK" w:eastAsia="方正黑体_GBK" w:hAnsi="Calibri" w:cs="Arial" w:hint="eastAsia"/>
          <w:sz w:val="36"/>
          <w:szCs w:val="36"/>
        </w:rPr>
        <w:t>——《形势与政策》课程组</w:t>
      </w:r>
      <w:r w:rsidR="0095520C">
        <w:rPr>
          <w:rFonts w:ascii="方正黑体_GBK" w:eastAsia="方正黑体_GBK" w:hAnsi="Calibri" w:cs="Arial" w:hint="eastAsia"/>
          <w:sz w:val="36"/>
          <w:szCs w:val="36"/>
        </w:rPr>
        <w:t>开展集体备课</w:t>
      </w:r>
    </w:p>
    <w:p w14:paraId="2E81C7BC" w14:textId="77777777" w:rsidR="00981669" w:rsidRPr="00981669" w:rsidRDefault="00981669" w:rsidP="00981669">
      <w:pPr>
        <w:jc w:val="center"/>
        <w:rPr>
          <w:rFonts w:ascii="方正黑体_GBK" w:eastAsia="方正黑体_GBK" w:hAnsi="方正黑体_GBK" w:cs="方正黑体_GBK"/>
          <w:sz w:val="36"/>
          <w:szCs w:val="36"/>
        </w:rPr>
      </w:pPr>
    </w:p>
    <w:p w14:paraId="105993B9" w14:textId="7A2244ED" w:rsidR="00981669" w:rsidRPr="0095520C" w:rsidRDefault="00981669" w:rsidP="00981669">
      <w:pPr>
        <w:ind w:firstLineChars="200" w:firstLine="640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95520C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为落实好教育部办公厅下发的《高校“形势与政策”课教学要点（</w:t>
      </w:r>
      <w:r w:rsidRPr="0095520C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2020</w:t>
      </w:r>
      <w:r w:rsidRPr="0095520C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年</w:t>
      </w:r>
      <w:r w:rsidRPr="0095520C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上辑》的通知要求，及时跟进推动党的创新理论进教材、进课堂、进学生头脑，传承和弘扬爱国主义精神，</w:t>
      </w:r>
      <w:r w:rsidRPr="0095520C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5</w:t>
      </w:r>
      <w:r w:rsidRPr="0095520C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月</w:t>
      </w:r>
      <w:r w:rsidRPr="0095520C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14</w:t>
      </w:r>
      <w:r w:rsidRPr="0095520C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日上午</w:t>
      </w:r>
      <w:r w:rsidRPr="0095520C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10</w:t>
      </w:r>
      <w:r w:rsidRPr="0095520C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点，</w:t>
      </w:r>
      <w:r w:rsidRPr="0095520C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马克思主义学院</w:t>
      </w:r>
      <w:r w:rsidRPr="0095520C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《形势与政策》课程组在明德楼</w:t>
      </w:r>
      <w:r w:rsidRPr="0095520C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110</w:t>
      </w:r>
      <w:r w:rsidRPr="0095520C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召开</w:t>
      </w:r>
      <w:r w:rsidR="0095520C" w:rsidRPr="0095520C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集体备课</w:t>
      </w:r>
      <w:r w:rsidRPr="0095520C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会议，进一步探讨落实《形势与政策》课程</w:t>
      </w:r>
      <w:r w:rsidRPr="0095520C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2020</w:t>
      </w:r>
      <w:r w:rsidRPr="0095520C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年</w:t>
      </w:r>
      <w:r w:rsidRPr="0095520C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教学</w:t>
      </w:r>
      <w:r w:rsidRPr="0095520C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要点</w:t>
      </w:r>
      <w:r w:rsidRPr="0095520C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。</w:t>
      </w:r>
    </w:p>
    <w:p w14:paraId="5784E13E" w14:textId="4A259151" w:rsidR="00981669" w:rsidRPr="0095520C" w:rsidRDefault="00981669" w:rsidP="00981669">
      <w:pPr>
        <w:ind w:firstLineChars="200" w:firstLine="640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95520C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FC0D27C" wp14:editId="5357CAB8">
            <wp:simplePos x="0" y="0"/>
            <wp:positionH relativeFrom="column">
              <wp:posOffset>1951990</wp:posOffset>
            </wp:positionH>
            <wp:positionV relativeFrom="paragraph">
              <wp:posOffset>64135</wp:posOffset>
            </wp:positionV>
            <wp:extent cx="3239770" cy="2430145"/>
            <wp:effectExtent l="0" t="0" r="17780" b="8255"/>
            <wp:wrapSquare wrapText="bothSides"/>
            <wp:docPr id="1" name="图片 1" descr="《形势与政策》研讨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《形势与政策》研讨会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9770" cy="2430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5520C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会议中，大家认为，在本学期已经开展的三次《形势与政策》教学中，较好的体现了要点要求，在最后一次《形势与政策》课程抗</w:t>
      </w:r>
      <w:proofErr w:type="gramStart"/>
      <w:r w:rsidRPr="0095520C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疫</w:t>
      </w:r>
      <w:proofErr w:type="gramEnd"/>
      <w:r w:rsidRPr="0095520C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主题的</w:t>
      </w:r>
      <w:r w:rsidRPr="0095520C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lastRenderedPageBreak/>
        <w:t>内容中，大家将进一步通过对比、讨论等方式，引导学生充分认识中国抗</w:t>
      </w:r>
      <w:proofErr w:type="gramStart"/>
      <w:r w:rsidRPr="0095520C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疫</w:t>
      </w:r>
      <w:proofErr w:type="gramEnd"/>
      <w:r w:rsidRPr="0095520C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彰显的中国共产党领导和中国特色社会主义制度优势。</w:t>
      </w:r>
    </w:p>
    <w:p w14:paraId="1FC1FAD7" w14:textId="77777777" w:rsidR="00981669" w:rsidRPr="0095520C" w:rsidRDefault="00981669" w:rsidP="00981669">
      <w:pPr>
        <w:ind w:firstLineChars="200" w:firstLine="640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95520C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会议还讨论了如何将四史教育（党史、新中国史、改革开放史、社会主义发展史）和劳动教育的内容进一步融合到下学期课程教学中，初步计划将通过组织社会实践、课堂宣讲等生动多样的方式，推动学生知史爱党，知史爱国，进一步厚</w:t>
      </w:r>
      <w:proofErr w:type="gramStart"/>
      <w:r w:rsidRPr="0095520C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植学生</w:t>
      </w:r>
      <w:proofErr w:type="gramEnd"/>
      <w:r w:rsidRPr="0095520C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对马克思主义的信仰、坚定对中国特色社会主义的信念，引导学生热爱劳动、热爱劳动人民，积极投身社会主义发展事业，为实现中华民族伟大复兴努力奋斗！</w:t>
      </w:r>
    </w:p>
    <w:p w14:paraId="019099E8" w14:textId="77777777" w:rsidR="00352FE5" w:rsidRPr="00981669" w:rsidRDefault="00352FE5"/>
    <w:sectPr w:rsidR="00352FE5" w:rsidRPr="009816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仿宋_GBK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669"/>
    <w:rsid w:val="00352FE5"/>
    <w:rsid w:val="0095520C"/>
    <w:rsid w:val="0098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4A49F"/>
  <w15:chartTrackingRefBased/>
  <w15:docId w15:val="{FACC08EC-BA23-4FA2-B8E3-7AD3045D9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166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95520C"/>
    <w:pPr>
      <w:ind w:leftChars="2500" w:left="2500"/>
    </w:pPr>
    <w:rPr>
      <w:rFonts w:ascii="仿宋_GB2312" w:eastAsia="仿宋_GB2312" w:hAnsi="Calibri" w:cs="Times New Roman"/>
      <w:sz w:val="30"/>
    </w:rPr>
  </w:style>
  <w:style w:type="character" w:customStyle="1" w:styleId="a4">
    <w:name w:val="日期 字符"/>
    <w:basedOn w:val="a0"/>
    <w:link w:val="a3"/>
    <w:rsid w:val="0095520C"/>
    <w:rPr>
      <w:rFonts w:ascii="仿宋_GB2312" w:eastAsia="仿宋_GB2312" w:hAnsi="Calibri" w:cs="Times New Roman"/>
      <w:sz w:val="3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yongchaoyao@163.com</dc:creator>
  <cp:keywords/>
  <dc:description/>
  <cp:lastModifiedBy>yongchaoyao@163.com</cp:lastModifiedBy>
  <cp:revision>2</cp:revision>
  <dcterms:created xsi:type="dcterms:W3CDTF">2020-05-19T01:55:00Z</dcterms:created>
  <dcterms:modified xsi:type="dcterms:W3CDTF">2020-05-19T02:06:00Z</dcterms:modified>
</cp:coreProperties>
</file>