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56" w:afterLines="50" w:line="360" w:lineRule="auto"/>
        <w:jc w:val="center"/>
        <w:rPr>
          <w:rFonts w:ascii="仿宋_GB2312" w:hAnsi="新宋体" w:eastAsia="仿宋_GB2312"/>
          <w:b/>
          <w:color w:val="FF0000"/>
          <w:sz w:val="52"/>
          <w:szCs w:val="52"/>
        </w:rPr>
      </w:pPr>
      <w:bookmarkStart w:id="0" w:name="_GoBack"/>
      <w:bookmarkEnd w:id="0"/>
      <w:r>
        <w:rPr>
          <w:rFonts w:hint="eastAsia" w:ascii="仿宋_GB2312" w:hAnsi="新宋体" w:eastAsia="仿宋_GB2312"/>
          <w:b/>
          <w:color w:val="FF0000"/>
          <w:sz w:val="52"/>
          <w:szCs w:val="52"/>
        </w:rPr>
        <w:t>海关法律系工作简报</w:t>
      </w:r>
    </w:p>
    <w:p>
      <w:pPr>
        <w:spacing w:line="360" w:lineRule="auto"/>
        <w:jc w:val="center"/>
        <w:rPr>
          <w:rFonts w:ascii="仿宋_GB2312" w:hAnsi="新宋体" w:eastAsia="仿宋_GB2312"/>
          <w:bCs/>
          <w:color w:val="FF0000"/>
          <w:sz w:val="32"/>
          <w:szCs w:val="32"/>
        </w:rPr>
      </w:pPr>
      <w:r>
        <w:rPr>
          <w:rFonts w:hint="eastAsia" w:ascii="仿宋_GB2312" w:hAnsi="新宋体" w:eastAsia="仿宋_GB2312"/>
          <w:bCs/>
          <w:color w:val="FF0000"/>
          <w:sz w:val="32"/>
          <w:szCs w:val="32"/>
        </w:rPr>
        <w:t>2019/2020学年第</w:t>
      </w:r>
      <w:r>
        <w:rPr>
          <w:rFonts w:ascii="仿宋_GB2312" w:hAnsi="新宋体" w:eastAsia="仿宋_GB2312"/>
          <w:bCs/>
          <w:color w:val="FF0000"/>
          <w:sz w:val="32"/>
          <w:szCs w:val="32"/>
        </w:rPr>
        <w:t>63</w:t>
      </w:r>
      <w:r>
        <w:rPr>
          <w:rFonts w:hint="eastAsia" w:ascii="仿宋_GB2312" w:hAnsi="新宋体" w:eastAsia="仿宋_GB2312"/>
          <w:bCs/>
          <w:color w:val="FF0000"/>
          <w:sz w:val="32"/>
          <w:szCs w:val="32"/>
        </w:rPr>
        <w:t>期</w:t>
      </w:r>
    </w:p>
    <w:p>
      <w:pPr>
        <w:spacing w:after="50" w:line="360" w:lineRule="auto"/>
        <w:jc w:val="center"/>
        <w:rPr>
          <w:rStyle w:val="10"/>
          <w:rFonts w:ascii="华文仿宋" w:hAnsi="华文仿宋" w:eastAsia="华文仿宋"/>
          <w:sz w:val="32"/>
          <w:szCs w:val="32"/>
        </w:rPr>
      </w:pPr>
      <w:r>
        <w:rPr>
          <w:rFonts w:hint="eastAsia" w:ascii="华文仿宋" w:hAnsi="华文仿宋" w:eastAsia="华文仿宋"/>
          <w:color w:val="FF0000"/>
          <w:sz w:val="32"/>
          <w:szCs w:val="32"/>
          <w:u w:val="single"/>
        </w:rPr>
        <w:t>海关法律系主办                      2020年</w:t>
      </w:r>
      <w:r>
        <w:rPr>
          <w:rFonts w:ascii="华文仿宋" w:hAnsi="华文仿宋" w:eastAsia="华文仿宋"/>
          <w:color w:val="FF0000"/>
          <w:sz w:val="32"/>
          <w:szCs w:val="32"/>
          <w:u w:val="single"/>
        </w:rPr>
        <w:t>3</w:t>
      </w:r>
      <w:r>
        <w:rPr>
          <w:rFonts w:hint="eastAsia" w:ascii="华文仿宋" w:hAnsi="华文仿宋" w:eastAsia="华文仿宋"/>
          <w:color w:val="FF0000"/>
          <w:sz w:val="32"/>
          <w:szCs w:val="32"/>
          <w:u w:val="single"/>
        </w:rPr>
        <w:t>月</w:t>
      </w:r>
      <w:r>
        <w:rPr>
          <w:rFonts w:ascii="华文仿宋" w:hAnsi="华文仿宋" w:eastAsia="华文仿宋"/>
          <w:color w:val="FF0000"/>
          <w:sz w:val="32"/>
          <w:szCs w:val="32"/>
          <w:u w:val="single"/>
        </w:rPr>
        <w:t>4</w:t>
      </w:r>
      <w:r>
        <w:rPr>
          <w:rFonts w:hint="eastAsia" w:ascii="华文仿宋" w:hAnsi="华文仿宋" w:eastAsia="华文仿宋"/>
          <w:color w:val="FF0000"/>
          <w:sz w:val="32"/>
          <w:szCs w:val="32"/>
          <w:u w:val="single"/>
        </w:rPr>
        <w:t>日</w:t>
      </w:r>
    </w:p>
    <w:p>
      <w:pPr>
        <w:spacing w:after="50" w:line="360" w:lineRule="auto"/>
        <w:jc w:val="center"/>
        <w:rPr>
          <w:rFonts w:ascii="华文仿宋" w:hAnsi="华文仿宋" w:eastAsia="华文仿宋"/>
          <w:sz w:val="10"/>
          <w:szCs w:val="10"/>
        </w:rPr>
      </w:pPr>
    </w:p>
    <w:p>
      <w:pPr>
        <w:jc w:val="center"/>
        <w:rPr>
          <w:rFonts w:ascii="黑体" w:hAnsi="黑体" w:eastAsia="黑体" w:cs="华文仿宋"/>
          <w:sz w:val="36"/>
          <w:szCs w:val="36"/>
        </w:rPr>
      </w:pPr>
      <w:r>
        <w:rPr>
          <w:rFonts w:hint="eastAsia" w:ascii="黑体" w:hAnsi="黑体" w:eastAsia="黑体" w:cs="华文仿宋"/>
          <w:sz w:val="36"/>
          <w:szCs w:val="36"/>
        </w:rPr>
        <w:t>行方识远，学知不足</w:t>
      </w:r>
    </w:p>
    <w:p>
      <w:pPr>
        <w:jc w:val="center"/>
        <w:rPr>
          <w:rFonts w:ascii="黑体" w:hAnsi="黑体" w:eastAsia="黑体" w:cs="华文仿宋"/>
          <w:sz w:val="36"/>
          <w:szCs w:val="36"/>
        </w:rPr>
      </w:pPr>
      <w:r>
        <w:rPr>
          <w:rFonts w:hint="eastAsia" w:ascii="黑体" w:hAnsi="黑体" w:eastAsia="黑体" w:cs="华文仿宋"/>
          <w:sz w:val="36"/>
          <w:szCs w:val="36"/>
        </w:rPr>
        <w:t>——海关法律系学生的澳洲INCU实习之旅</w:t>
      </w:r>
    </w:p>
    <w:p>
      <w:pPr>
        <w:ind w:firstLine="200" w:firstLineChars="200"/>
        <w:rPr>
          <w:rFonts w:ascii="华文仿宋" w:hAnsi="华文仿宋" w:eastAsia="华文仿宋" w:cs="华文仿宋"/>
          <w:sz w:val="10"/>
          <w:szCs w:val="10"/>
        </w:rPr>
      </w:pPr>
    </w:p>
    <w:p>
      <w:pPr>
        <w:spacing w:line="360" w:lineRule="auto"/>
        <w:ind w:firstLine="560" w:firstLineChars="200"/>
        <w:rPr>
          <w:rFonts w:ascii="华文仿宋" w:hAnsi="华文仿宋" w:eastAsia="华文仿宋" w:cs="华文仿宋"/>
          <w:sz w:val="28"/>
          <w:szCs w:val="28"/>
        </w:rPr>
      </w:pPr>
      <w:r>
        <w:rPr>
          <w:rFonts w:hint="eastAsia" w:ascii="华文仿宋" w:hAnsi="华文仿宋" w:eastAsia="华文仿宋" w:cs="华文仿宋"/>
          <w:sz w:val="28"/>
          <w:szCs w:val="28"/>
        </w:rPr>
        <w:t>受益于我校与国际海关院校联盟（</w:t>
      </w:r>
      <w:r>
        <w:rPr>
          <w:rFonts w:ascii="华文仿宋" w:hAnsi="华文仿宋" w:eastAsia="华文仿宋" w:cs="华文仿宋"/>
          <w:sz w:val="28"/>
          <w:szCs w:val="28"/>
        </w:rPr>
        <w:t>INCU</w:t>
      </w:r>
      <w:r>
        <w:rPr>
          <w:rFonts w:hint="eastAsia" w:ascii="华文仿宋" w:hAnsi="华文仿宋" w:eastAsia="华文仿宋" w:cs="华文仿宋"/>
          <w:sz w:val="28"/>
          <w:szCs w:val="28"/>
        </w:rPr>
        <w:t>）的合作项目，我系法学1701班学生吴龙宇通过国际交流部对报名学生的综合素养考察和面试，获得了国际海关院校联盟（INCU）寒假实习资格，并于2</w:t>
      </w:r>
      <w:r>
        <w:rPr>
          <w:rFonts w:ascii="华文仿宋" w:hAnsi="华文仿宋" w:eastAsia="华文仿宋" w:cs="华文仿宋"/>
          <w:sz w:val="28"/>
          <w:szCs w:val="28"/>
        </w:rPr>
        <w:t>020</w:t>
      </w:r>
      <w:r>
        <w:rPr>
          <w:rFonts w:hint="eastAsia" w:ascii="华文仿宋" w:hAnsi="华文仿宋" w:eastAsia="华文仿宋" w:cs="华文仿宋"/>
          <w:sz w:val="28"/>
          <w:szCs w:val="28"/>
        </w:rPr>
        <w:t>年1月7日-</w:t>
      </w:r>
      <w:r>
        <w:rPr>
          <w:rFonts w:ascii="华文仿宋" w:hAnsi="华文仿宋" w:eastAsia="华文仿宋" w:cs="华文仿宋"/>
          <w:sz w:val="28"/>
          <w:szCs w:val="28"/>
        </w:rPr>
        <w:t>29</w:t>
      </w:r>
      <w:r>
        <w:rPr>
          <w:rFonts w:hint="eastAsia" w:ascii="华文仿宋" w:hAnsi="华文仿宋" w:eastAsia="华文仿宋" w:cs="华文仿宋"/>
          <w:sz w:val="28"/>
          <w:szCs w:val="28"/>
        </w:rPr>
        <w:t>日间奔赴澳大利亚堪培拉实习。</w:t>
      </w:r>
    </w:p>
    <w:p>
      <w:pPr>
        <w:spacing w:line="360" w:lineRule="auto"/>
        <w:ind w:firstLine="560" w:firstLineChars="200"/>
        <w:rPr>
          <w:rFonts w:ascii="华文仿宋" w:hAnsi="华文仿宋" w:eastAsia="华文仿宋" w:cs="华文仿宋"/>
          <w:sz w:val="28"/>
          <w:szCs w:val="28"/>
        </w:rPr>
      </w:pPr>
      <w:r>
        <w:rPr>
          <w:rFonts w:hint="eastAsia" w:ascii="华文仿宋" w:hAnsi="华文仿宋" w:eastAsia="华文仿宋" w:cs="华文仿宋"/>
          <w:sz w:val="28"/>
          <w:szCs w:val="28"/>
        </w:rPr>
        <w:drawing>
          <wp:anchor distT="0" distB="0" distL="114935" distR="114935" simplePos="0" relativeHeight="251659264" behindDoc="0" locked="0" layoutInCell="1" allowOverlap="1">
            <wp:simplePos x="0" y="0"/>
            <wp:positionH relativeFrom="column">
              <wp:posOffset>2012950</wp:posOffset>
            </wp:positionH>
            <wp:positionV relativeFrom="paragraph">
              <wp:posOffset>472440</wp:posOffset>
            </wp:positionV>
            <wp:extent cx="3287395" cy="2466340"/>
            <wp:effectExtent l="0" t="0" r="8255" b="10160"/>
            <wp:wrapSquare wrapText="bothSides"/>
            <wp:docPr id="1" name="图片 1" descr="微信图片_20200213024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00213024826"/>
                    <pic:cNvPicPr>
                      <a:picLocks noChangeAspect="1"/>
                    </pic:cNvPicPr>
                  </pic:nvPicPr>
                  <pic:blipFill>
                    <a:blip r:embed="rId5"/>
                    <a:stretch>
                      <a:fillRect/>
                    </a:stretch>
                  </pic:blipFill>
                  <pic:spPr>
                    <a:xfrm>
                      <a:off x="0" y="0"/>
                      <a:ext cx="3287395" cy="2466340"/>
                    </a:xfrm>
                    <a:prstGeom prst="rect">
                      <a:avLst/>
                    </a:prstGeom>
                  </pic:spPr>
                </pic:pic>
              </a:graphicData>
            </a:graphic>
          </wp:anchor>
        </w:drawing>
      </w:r>
      <w:r>
        <w:rPr>
          <w:rFonts w:hint="eastAsia" w:ascii="华文仿宋" w:hAnsi="华文仿宋" w:eastAsia="华文仿宋" w:cs="华文仿宋"/>
          <w:sz w:val="28"/>
          <w:szCs w:val="28"/>
        </w:rPr>
        <w:t>国际海关院校联盟（INCU）是一个向世界海关组织（WCO）和其他活跃于海关研究、海关教育培训领域的高校和研究机构提供相互联系的平台的国际非营利性组织。</w:t>
      </w:r>
    </w:p>
    <w:p>
      <w:pPr>
        <w:spacing w:line="360" w:lineRule="auto"/>
        <w:ind w:firstLine="560" w:firstLineChars="200"/>
        <w:rPr>
          <w:rFonts w:ascii="华文仿宋" w:hAnsi="华文仿宋" w:eastAsia="华文仿宋" w:cs="华文仿宋"/>
          <w:sz w:val="28"/>
          <w:szCs w:val="28"/>
        </w:rPr>
      </w:pPr>
      <w:r>
        <w:rPr>
          <w:rFonts w:hint="eastAsia" w:ascii="华文仿宋" w:hAnsi="华文仿宋" w:eastAsia="华文仿宋" w:cs="华文仿宋"/>
          <w:sz w:val="28"/>
          <w:szCs w:val="28"/>
        </w:rPr>
        <w:t>我系学生的实习工作主要有对世界海关杂志（WCJ）的来稿进行分类整理，维护运营INCU官方网站以及各类社交平台官方账号，更新INCU成员信息，并协助相关领域的各国学者进行海关与国际贸易的研究。</w:t>
      </w:r>
    </w:p>
    <w:p>
      <w:pPr>
        <w:spacing w:line="360" w:lineRule="auto"/>
        <w:ind w:firstLine="560" w:firstLineChars="200"/>
        <w:rPr>
          <w:rFonts w:ascii="华文仿宋" w:hAnsi="华文仿宋" w:eastAsia="华文仿宋" w:cs="华文仿宋"/>
          <w:sz w:val="28"/>
          <w:szCs w:val="28"/>
        </w:rPr>
      </w:pPr>
      <w:r>
        <w:rPr>
          <w:rFonts w:hint="eastAsia" w:ascii="华文仿宋" w:hAnsi="华文仿宋" w:eastAsia="华文仿宋" w:cs="华文仿宋"/>
          <w:sz w:val="28"/>
          <w:szCs w:val="28"/>
        </w:rPr>
        <w:t>本次特色化、专业化和国际化的海外实习项目使得我系学生理解了全球层面相关领域的人才总量、特点、资源分布情况，极大地拓展了学生的眼界，清晰了自我认知，明确了自我地位。深刻感受到“海关”非一国之关，而是“四海之关”。当世界性的资源呈现眼底，学生深刻体会到平日所学仅为冰山一角，越是深入了解，越觉学海无涯，也真正理解了行万里路，读万卷书，方可致远。</w:t>
      </w:r>
    </w:p>
    <w:p>
      <w:pPr>
        <w:spacing w:line="360" w:lineRule="auto"/>
        <w:ind w:firstLine="560" w:firstLineChars="200"/>
        <w:rPr>
          <w:rFonts w:ascii="华文仿宋" w:hAnsi="华文仿宋" w:eastAsia="华文仿宋" w:cs="华文仿宋"/>
          <w:sz w:val="28"/>
          <w:szCs w:val="28"/>
        </w:rPr>
      </w:pPr>
      <w:r>
        <w:rPr>
          <w:rFonts w:hint="eastAsia" w:ascii="华文仿宋" w:hAnsi="华文仿宋" w:eastAsia="华文仿宋" w:cs="华文仿宋"/>
          <w:sz w:val="28"/>
          <w:szCs w:val="28"/>
        </w:rPr>
        <w:drawing>
          <wp:anchor distT="0" distB="0" distL="114935" distR="114935" simplePos="0" relativeHeight="251660288" behindDoc="0" locked="0" layoutInCell="1" allowOverlap="1">
            <wp:simplePos x="0" y="0"/>
            <wp:positionH relativeFrom="column">
              <wp:posOffset>1952625</wp:posOffset>
            </wp:positionH>
            <wp:positionV relativeFrom="paragraph">
              <wp:posOffset>1290955</wp:posOffset>
            </wp:positionV>
            <wp:extent cx="3249295" cy="2437130"/>
            <wp:effectExtent l="0" t="0" r="8255" b="1270"/>
            <wp:wrapSquare wrapText="bothSides"/>
            <wp:docPr id="3" name="图片 3" descr="微信图片_20200213024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00213024851"/>
                    <pic:cNvPicPr>
                      <a:picLocks noChangeAspect="1"/>
                    </pic:cNvPicPr>
                  </pic:nvPicPr>
                  <pic:blipFill>
                    <a:blip r:embed="rId6"/>
                    <a:stretch>
                      <a:fillRect/>
                    </a:stretch>
                  </pic:blipFill>
                  <pic:spPr>
                    <a:xfrm>
                      <a:off x="0" y="0"/>
                      <a:ext cx="3249295" cy="2437130"/>
                    </a:xfrm>
                    <a:prstGeom prst="rect">
                      <a:avLst/>
                    </a:prstGeom>
                  </pic:spPr>
                </pic:pic>
              </a:graphicData>
            </a:graphic>
          </wp:anchor>
        </w:drawing>
      </w:r>
      <w:r>
        <w:rPr>
          <w:rFonts w:hint="eastAsia" w:ascii="华文仿宋" w:hAnsi="华文仿宋" w:eastAsia="华文仿宋" w:cs="华文仿宋"/>
          <w:sz w:val="28"/>
          <w:szCs w:val="28"/>
        </w:rPr>
        <w:t>全英文的工作环境，异国他乡的生活方式，乃至澳洲变化无常的自然环境都对学生的实习之旅提出了新的挑战，也产生了很多意想不到的困难。如工作中，文化差异带来了工作礼仪的不适应；与教科书截然不同的语言环境带来了理解和交流的障碍；从未接触过的工作内容考验着学生速记速学的能力；国内爆发的疫情牵动着他们的归国之思，乃至澳洲的山火、冰雹、沙尘暴等都考验着学生的应变能力、处事心态。短短的半个月也让他们真实体会到异国环境，体会到了校园之外的远方不仅有诗情画意，更有风雨兼程。</w:t>
      </w:r>
    </w:p>
    <w:p>
      <w:pPr>
        <w:spacing w:line="360" w:lineRule="auto"/>
        <w:ind w:firstLine="560" w:firstLineChars="200"/>
        <w:rPr>
          <w:rFonts w:ascii="华文仿宋" w:hAnsi="华文仿宋" w:eastAsia="华文仿宋" w:cs="华文仿宋"/>
          <w:sz w:val="28"/>
          <w:szCs w:val="28"/>
        </w:rPr>
      </w:pPr>
      <w:r>
        <w:rPr>
          <w:rFonts w:hint="eastAsia" w:ascii="华文仿宋" w:hAnsi="华文仿宋" w:eastAsia="华文仿宋" w:cs="华文仿宋"/>
          <w:sz w:val="28"/>
          <w:szCs w:val="28"/>
        </w:rPr>
        <w:t>回国后，学生由衷地说：“没有去过更远的地方，就会仍然活在自己想象的迷你世界；没有学过陌生的知识，就不会知道自己所学的浅薄。INCU实习极大地拓展了我的眼界，更新了自我能力认知，回国后将强化优势，补齐短板。”</w:t>
      </w:r>
    </w:p>
    <w:p>
      <w:pPr>
        <w:spacing w:line="360" w:lineRule="auto"/>
        <w:ind w:firstLine="560" w:firstLineChars="200"/>
        <w:rPr>
          <w:rFonts w:ascii="华文仿宋" w:hAnsi="华文仿宋" w:eastAsia="华文仿宋" w:cs="华文仿宋"/>
          <w:sz w:val="28"/>
          <w:szCs w:val="28"/>
        </w:rPr>
      </w:pPr>
      <w:r>
        <w:rPr>
          <w:rFonts w:hint="eastAsia" w:ascii="华文仿宋" w:hAnsi="华文仿宋" w:eastAsia="华文仿宋" w:cs="华文仿宋"/>
          <w:sz w:val="28"/>
          <w:szCs w:val="28"/>
        </w:rPr>
        <w:t>“知行合一”是海关法律系一贯坚持的育人模式。“海关法律系将在进一步推进课堂教学质量的同时，着力培养学生的专业实践能力。海关法律系在鼓励法学专业学生积极参与特色化涉外项目的同时，也与海关法律事务行业链条上的海关、缉私局、公检法单位及各类法律服务机构开拓合作项目，建立实习基地，努力打造全链条协同育人模式。</w:t>
      </w:r>
    </w:p>
    <w:p>
      <w:pPr>
        <w:spacing w:line="360" w:lineRule="auto"/>
        <w:ind w:firstLine="420" w:firstLineChars="150"/>
        <w:rPr>
          <w:rFonts w:ascii="华文仿宋" w:hAnsi="华文仿宋" w:eastAsia="华文仿宋" w:cstheme="minorEastAsia"/>
          <w:sz w:val="28"/>
          <w:szCs w:val="28"/>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Helvetica Neue">
    <w:altName w:val="Segoe UI"/>
    <w:panose1 w:val="00000000000000000000"/>
    <w:charset w:val="00"/>
    <w:family w:val="auto"/>
    <w:pitch w:val="default"/>
    <w:sig w:usb0="00000000" w:usb1="00000000" w:usb2="00000010" w:usb3="00000000" w:csb0="00000000" w:csb1="00000000"/>
  </w:font>
  <w:font w:name="仿宋_GB2312">
    <w:altName w:val="仿宋"/>
    <w:panose1 w:val="00000000000000000000"/>
    <w:charset w:val="00"/>
    <w:family w:val="roman"/>
    <w:pitch w:val="default"/>
    <w:sig w:usb0="00000000" w:usb1="00000000" w:usb2="00000000" w:usb3="00000000" w:csb0="00040001" w:csb1="00000000"/>
  </w:font>
  <w:font w:name="新宋体">
    <w:panose1 w:val="02010609030101010101"/>
    <w:charset w:val="86"/>
    <w:family w:val="modern"/>
    <w:pitch w:val="default"/>
    <w:sig w:usb0="00000283" w:usb1="288F0000" w:usb2="00000006" w:usb3="00000000" w:csb0="00040001"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77044346"/>
      <w:docPartObj>
        <w:docPartGallery w:val="AutoText"/>
      </w:docPartObj>
    </w:sdtPr>
    <w:sdtContent>
      <w:p>
        <w:pPr>
          <w:pStyle w:val="2"/>
          <w:jc w:val="center"/>
        </w:pPr>
        <w:r>
          <w:fldChar w:fldCharType="begin"/>
        </w:r>
        <w:r>
          <w:instrText xml:space="preserve">PAGE   \* MERGEFORMAT</w:instrText>
        </w:r>
        <w:r>
          <w:fldChar w:fldCharType="separate"/>
        </w:r>
        <w:r>
          <w:rPr>
            <w:lang w:val="zh-CN"/>
          </w:rPr>
          <w:t>2</w:t>
        </w:r>
        <w:r>
          <w:fldChar w:fldCharType="end"/>
        </w:r>
      </w:p>
    </w:sdtContent>
  </w:sdt>
  <w:p>
    <w:pPr>
      <w:pStyle w:val="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B5D8048"/>
    <w:rsid w:val="00074FFE"/>
    <w:rsid w:val="0009033D"/>
    <w:rsid w:val="000E42D7"/>
    <w:rsid w:val="00182A1F"/>
    <w:rsid w:val="001E0A19"/>
    <w:rsid w:val="00262A4A"/>
    <w:rsid w:val="002938E0"/>
    <w:rsid w:val="002C76B4"/>
    <w:rsid w:val="004267E9"/>
    <w:rsid w:val="004642DA"/>
    <w:rsid w:val="00554B9F"/>
    <w:rsid w:val="00556DBB"/>
    <w:rsid w:val="00674CD1"/>
    <w:rsid w:val="00800CB6"/>
    <w:rsid w:val="0080456E"/>
    <w:rsid w:val="00821202"/>
    <w:rsid w:val="008A535C"/>
    <w:rsid w:val="0098450A"/>
    <w:rsid w:val="009F76DE"/>
    <w:rsid w:val="00A442A7"/>
    <w:rsid w:val="00A75754"/>
    <w:rsid w:val="00B51AB2"/>
    <w:rsid w:val="00B720A0"/>
    <w:rsid w:val="00CF08B1"/>
    <w:rsid w:val="00D603A9"/>
    <w:rsid w:val="00D72755"/>
    <w:rsid w:val="00D74557"/>
    <w:rsid w:val="00DA0081"/>
    <w:rsid w:val="00DA2D7A"/>
    <w:rsid w:val="00EF1956"/>
    <w:rsid w:val="00F82FB8"/>
    <w:rsid w:val="1B5D8048"/>
    <w:rsid w:val="25DC2848"/>
    <w:rsid w:val="470B501E"/>
    <w:rsid w:val="5DBC1E11"/>
    <w:rsid w:val="67EFAD5E"/>
    <w:rsid w:val="67F7F3CA"/>
    <w:rsid w:val="AF5EAFBD"/>
    <w:rsid w:val="DBDA6AEC"/>
    <w:rsid w:val="E747B016"/>
    <w:rsid w:val="FBFB29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9"/>
    <w:uiPriority w:val="99"/>
    <w:pPr>
      <w:tabs>
        <w:tab w:val="center" w:pos="4153"/>
        <w:tab w:val="right" w:pos="8306"/>
      </w:tabs>
      <w:snapToGrid w:val="0"/>
      <w:jc w:val="left"/>
    </w:pPr>
    <w:rPr>
      <w:sz w:val="18"/>
      <w:szCs w:val="18"/>
    </w:rPr>
  </w:style>
  <w:style w:type="paragraph" w:styleId="3">
    <w:name w:val="header"/>
    <w:basedOn w:val="1"/>
    <w:link w:val="8"/>
    <w:uiPriority w:val="0"/>
    <w:pPr>
      <w:pBdr>
        <w:bottom w:val="single" w:color="auto" w:sz="6" w:space="1"/>
      </w:pBdr>
      <w:tabs>
        <w:tab w:val="center" w:pos="4153"/>
        <w:tab w:val="right" w:pos="8306"/>
      </w:tabs>
      <w:snapToGrid w:val="0"/>
      <w:jc w:val="center"/>
    </w:pPr>
    <w:rPr>
      <w:sz w:val="18"/>
      <w:szCs w:val="18"/>
    </w:rPr>
  </w:style>
  <w:style w:type="table" w:styleId="5">
    <w:name w:val="Table Grid"/>
    <w:basedOn w:val="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
    <w:name w:val="p1"/>
    <w:basedOn w:val="1"/>
    <w:qFormat/>
    <w:uiPriority w:val="0"/>
    <w:pPr>
      <w:spacing w:line="380" w:lineRule="atLeast"/>
      <w:jc w:val="left"/>
    </w:pPr>
    <w:rPr>
      <w:rFonts w:ascii="Helvetica Neue" w:hAnsi="Helvetica Neue" w:eastAsia="Helvetica Neue" w:cs="Times New Roman"/>
      <w:color w:val="000000"/>
      <w:kern w:val="0"/>
      <w:sz w:val="26"/>
      <w:szCs w:val="26"/>
    </w:rPr>
  </w:style>
  <w:style w:type="character" w:customStyle="1" w:styleId="8">
    <w:name w:val="页眉 字符"/>
    <w:basedOn w:val="6"/>
    <w:link w:val="3"/>
    <w:uiPriority w:val="0"/>
    <w:rPr>
      <w:rFonts w:asciiTheme="minorHAnsi" w:hAnsiTheme="minorHAnsi" w:eastAsiaTheme="minorEastAsia" w:cstheme="minorBidi"/>
      <w:kern w:val="2"/>
      <w:sz w:val="18"/>
      <w:szCs w:val="18"/>
    </w:rPr>
  </w:style>
  <w:style w:type="character" w:customStyle="1" w:styleId="9">
    <w:name w:val="页脚 字符"/>
    <w:basedOn w:val="6"/>
    <w:link w:val="2"/>
    <w:uiPriority w:val="99"/>
    <w:rPr>
      <w:rFonts w:asciiTheme="minorHAnsi" w:hAnsiTheme="minorHAnsi" w:eastAsiaTheme="minorEastAsia" w:cstheme="minorBidi"/>
      <w:kern w:val="2"/>
      <w:sz w:val="18"/>
      <w:szCs w:val="18"/>
    </w:rPr>
  </w:style>
  <w:style w:type="character" w:customStyle="1" w:styleId="10">
    <w:name w:val="style4 style8"/>
    <w:basedOn w:val="6"/>
    <w:qFormat/>
    <w:uiPriority w:val="0"/>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Pages>
  <Words>155</Words>
  <Characters>890</Characters>
  <Lines>7</Lines>
  <Paragraphs>2</Paragraphs>
  <TotalTime>2</TotalTime>
  <ScaleCrop>false</ScaleCrop>
  <LinksUpToDate>false</LinksUpToDate>
  <CharactersWithSpaces>1043</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2020-03-04T03:04:00Z</dcterms:created>
  <dc:creator>mac</dc:creator>
  <cp:lastModifiedBy>余越</cp:lastModifiedBy>
  <dcterms:modified xsi:type="dcterms:W3CDTF">2020-07-09T02:53:19Z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