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仿宋_GB2312" w:hAnsi="新宋体" w:eastAsia="仿宋_GB2312"/>
          <w:b/>
          <w:color w:val="FF0000"/>
          <w:sz w:val="52"/>
          <w:szCs w:val="52"/>
        </w:rPr>
      </w:pPr>
      <w:bookmarkStart w:id="0" w:name="_GoBack"/>
      <w:bookmarkEnd w:id="0"/>
      <w:r>
        <w:rPr>
          <w:rFonts w:hint="eastAsia" w:ascii="仿宋_GB2312" w:hAnsi="新宋体" w:eastAsia="仿宋_GB2312"/>
          <w:b/>
          <w:color w:val="FF0000"/>
          <w:sz w:val="52"/>
          <w:szCs w:val="52"/>
        </w:rPr>
        <w:t>海关法律系工作简报</w:t>
      </w:r>
    </w:p>
    <w:p>
      <w:pPr>
        <w:spacing w:line="360" w:lineRule="auto"/>
        <w:jc w:val="center"/>
        <w:rPr>
          <w:rFonts w:ascii="仿宋_GB2312" w:hAnsi="新宋体" w:eastAsia="仿宋_GB2312"/>
          <w:bCs/>
          <w:color w:val="FF0000"/>
          <w:sz w:val="32"/>
          <w:szCs w:val="32"/>
        </w:rPr>
      </w:pPr>
      <w:r>
        <w:rPr>
          <w:rFonts w:hint="eastAsia" w:ascii="仿宋_GB2312" w:hAnsi="新宋体" w:eastAsia="仿宋_GB2312"/>
          <w:bCs/>
          <w:color w:val="FF0000"/>
          <w:sz w:val="32"/>
          <w:szCs w:val="32"/>
        </w:rPr>
        <w:t>2019/2020学年第</w:t>
      </w:r>
      <w:r>
        <w:rPr>
          <w:rFonts w:ascii="仿宋_GB2312" w:hAnsi="新宋体" w:eastAsia="仿宋_GB2312"/>
          <w:bCs/>
          <w:color w:val="FF0000"/>
          <w:sz w:val="32"/>
          <w:szCs w:val="32"/>
        </w:rPr>
        <w:t>66</w:t>
      </w:r>
      <w:r>
        <w:rPr>
          <w:rFonts w:hint="eastAsia" w:ascii="仿宋_GB2312" w:hAnsi="新宋体" w:eastAsia="仿宋_GB2312"/>
          <w:bCs/>
          <w:color w:val="FF0000"/>
          <w:sz w:val="32"/>
          <w:szCs w:val="32"/>
        </w:rPr>
        <w:t>期</w:t>
      </w:r>
    </w:p>
    <w:p>
      <w:pPr>
        <w:spacing w:after="50" w:line="360" w:lineRule="auto"/>
        <w:jc w:val="center"/>
        <w:rPr>
          <w:rStyle w:val="10"/>
          <w:rFonts w:ascii="华文仿宋" w:hAnsi="华文仿宋" w:eastAsia="华文仿宋"/>
          <w:sz w:val="32"/>
          <w:szCs w:val="32"/>
        </w:rPr>
      </w:pPr>
      <w:r>
        <w:rPr>
          <w:rFonts w:hint="eastAsia" w:ascii="华文仿宋" w:hAnsi="华文仿宋" w:eastAsia="华文仿宋"/>
          <w:color w:val="FF0000"/>
          <w:sz w:val="32"/>
          <w:szCs w:val="32"/>
          <w:u w:val="single"/>
        </w:rPr>
        <w:t>海关法律系主办                      2020年</w:t>
      </w:r>
      <w:r>
        <w:rPr>
          <w:rFonts w:ascii="华文仿宋" w:hAnsi="华文仿宋" w:eastAsia="华文仿宋"/>
          <w:color w:val="FF0000"/>
          <w:sz w:val="32"/>
          <w:szCs w:val="32"/>
          <w:u w:val="single"/>
        </w:rPr>
        <w:t>3</w:t>
      </w:r>
      <w:r>
        <w:rPr>
          <w:rFonts w:hint="eastAsia" w:ascii="华文仿宋" w:hAnsi="华文仿宋" w:eastAsia="华文仿宋"/>
          <w:color w:val="FF0000"/>
          <w:sz w:val="32"/>
          <w:szCs w:val="32"/>
          <w:u w:val="single"/>
        </w:rPr>
        <w:t>月</w:t>
      </w:r>
      <w:r>
        <w:rPr>
          <w:rFonts w:ascii="华文仿宋" w:hAnsi="华文仿宋" w:eastAsia="华文仿宋"/>
          <w:color w:val="FF0000"/>
          <w:sz w:val="32"/>
          <w:szCs w:val="32"/>
          <w:u w:val="single"/>
        </w:rPr>
        <w:t>7</w:t>
      </w:r>
      <w:r>
        <w:rPr>
          <w:rFonts w:hint="eastAsia" w:ascii="华文仿宋" w:hAnsi="华文仿宋" w:eastAsia="华文仿宋"/>
          <w:color w:val="FF0000"/>
          <w:sz w:val="32"/>
          <w:szCs w:val="32"/>
          <w:u w:val="single"/>
        </w:rPr>
        <w:t>日</w:t>
      </w:r>
    </w:p>
    <w:p>
      <w:pPr>
        <w:jc w:val="center"/>
        <w:rPr>
          <w:rFonts w:asciiTheme="majorEastAsia" w:hAnsiTheme="majorEastAsia" w:eastAsiaTheme="majorEastAsia" w:cstheme="majorEastAsia"/>
          <w:b/>
          <w:bCs/>
          <w:sz w:val="13"/>
          <w:szCs w:val="13"/>
        </w:rPr>
      </w:pPr>
    </w:p>
    <w:p>
      <w:pPr>
        <w:jc w:val="center"/>
        <w:rPr>
          <w:rFonts w:ascii="黑体" w:hAnsi="黑体" w:eastAsia="黑体" w:cstheme="majorEastAsia"/>
          <w:sz w:val="36"/>
          <w:szCs w:val="36"/>
        </w:rPr>
      </w:pPr>
      <w:r>
        <w:rPr>
          <w:rFonts w:hint="eastAsia" w:ascii="黑体" w:hAnsi="黑体" w:eastAsia="黑体" w:cstheme="majorEastAsia"/>
          <w:sz w:val="36"/>
          <w:szCs w:val="36"/>
        </w:rPr>
        <w:t>2</w:t>
      </w:r>
      <w:r>
        <w:rPr>
          <w:rFonts w:ascii="黑体" w:hAnsi="黑体" w:eastAsia="黑体" w:cstheme="majorEastAsia"/>
          <w:sz w:val="36"/>
          <w:szCs w:val="36"/>
        </w:rPr>
        <w:t>019</w:t>
      </w:r>
      <w:r>
        <w:rPr>
          <w:rFonts w:hint="eastAsia" w:ascii="黑体" w:hAnsi="黑体" w:eastAsia="黑体" w:cstheme="majorEastAsia"/>
          <w:sz w:val="36"/>
          <w:szCs w:val="36"/>
        </w:rPr>
        <w:t>年海关法律</w:t>
      </w:r>
      <w:r>
        <w:rPr>
          <w:rFonts w:ascii="黑体" w:hAnsi="黑体" w:eastAsia="黑体" w:cstheme="majorEastAsia"/>
          <w:sz w:val="36"/>
          <w:szCs w:val="36"/>
        </w:rPr>
        <w:t>系教师</w:t>
      </w:r>
      <w:r>
        <w:rPr>
          <w:rFonts w:ascii="黑体" w:hAnsi="黑体" w:eastAsia="黑体" w:cstheme="majorEastAsia"/>
          <w:sz w:val="36"/>
          <w:szCs w:val="36"/>
        </w:rPr>
        <w:br w:type="textWrapping"/>
      </w:r>
      <w:r>
        <w:rPr>
          <w:rFonts w:hint="eastAsia" w:ascii="黑体" w:hAnsi="黑体" w:eastAsia="黑体" w:cstheme="majorEastAsia"/>
          <w:sz w:val="36"/>
          <w:szCs w:val="36"/>
        </w:rPr>
        <w:t>两次</w:t>
      </w:r>
      <w:r>
        <w:rPr>
          <w:rFonts w:ascii="黑体" w:hAnsi="黑体" w:eastAsia="黑体" w:cstheme="majorEastAsia"/>
          <w:sz w:val="36"/>
          <w:szCs w:val="36"/>
        </w:rPr>
        <w:t>获海关总署政法司</w:t>
      </w:r>
      <w:r>
        <w:rPr>
          <w:rFonts w:hint="eastAsia" w:ascii="黑体" w:hAnsi="黑体" w:eastAsia="黑体" w:cstheme="majorEastAsia"/>
          <w:sz w:val="36"/>
          <w:szCs w:val="36"/>
        </w:rPr>
        <w:t>致函</w:t>
      </w:r>
      <w:r>
        <w:rPr>
          <w:rFonts w:ascii="黑体" w:hAnsi="黑体" w:eastAsia="黑体" w:cstheme="majorEastAsia"/>
          <w:sz w:val="36"/>
          <w:szCs w:val="36"/>
        </w:rPr>
        <w:t>感谢</w:t>
      </w:r>
    </w:p>
    <w:p>
      <w:pPr>
        <w:jc w:val="center"/>
        <w:rPr>
          <w:rFonts w:asciiTheme="majorEastAsia" w:hAnsiTheme="majorEastAsia" w:eastAsiaTheme="majorEastAsia" w:cstheme="majorEastAsia"/>
          <w:b/>
          <w:bCs/>
          <w:sz w:val="13"/>
          <w:szCs w:val="13"/>
        </w:rPr>
      </w:pPr>
    </w:p>
    <w:p>
      <w:pPr>
        <w:spacing w:line="360" w:lineRule="auto"/>
        <w:ind w:firstLine="560" w:firstLineChars="200"/>
        <w:rPr>
          <w:rFonts w:ascii="华文仿宋" w:hAnsi="华文仿宋" w:eastAsia="华文仿宋" w:cstheme="minorEastAsia"/>
          <w:sz w:val="28"/>
          <w:szCs w:val="28"/>
        </w:rPr>
      </w:pPr>
      <w:r>
        <w:rPr>
          <w:rFonts w:hint="eastAsia" w:ascii="华文仿宋" w:hAnsi="华文仿宋" w:eastAsia="华文仿宋" w:cstheme="minorEastAsia"/>
          <w:sz w:val="28"/>
          <w:szCs w:val="28"/>
        </w:rPr>
        <w:t>海关总署政府司两次发函至我校，感谢我校在2</w:t>
      </w:r>
      <w:r>
        <w:rPr>
          <w:rFonts w:ascii="华文仿宋" w:hAnsi="华文仿宋" w:eastAsia="华文仿宋" w:cstheme="minorEastAsia"/>
          <w:sz w:val="28"/>
          <w:szCs w:val="28"/>
        </w:rPr>
        <w:t>019</w:t>
      </w:r>
      <w:r>
        <w:rPr>
          <w:rFonts w:hint="eastAsia" w:ascii="华文仿宋" w:hAnsi="华文仿宋" w:eastAsia="华文仿宋" w:cstheme="minorEastAsia"/>
          <w:sz w:val="28"/>
          <w:szCs w:val="28"/>
        </w:rPr>
        <w:t>年中对海关政法工作的积极参与与支持。</w:t>
      </w:r>
    </w:p>
    <w:p>
      <w:pPr>
        <w:spacing w:line="360" w:lineRule="auto"/>
        <w:ind w:firstLine="560" w:firstLineChars="200"/>
        <w:rPr>
          <w:rFonts w:ascii="华文仿宋" w:hAnsi="华文仿宋" w:eastAsia="华文仿宋" w:cstheme="minorEastAsia"/>
          <w:sz w:val="28"/>
          <w:szCs w:val="28"/>
        </w:rPr>
      </w:pPr>
      <w:r>
        <w:rPr>
          <w:rFonts w:hint="eastAsia" w:ascii="华文仿宋" w:hAnsi="华文仿宋" w:eastAsia="华文仿宋" w:cstheme="minorEastAsia"/>
          <w:sz w:val="28"/>
          <w:szCs w:val="28"/>
        </w:rPr>
        <w:t>海关法律系积极参与政法司党支部“晨读一刻”线上联学活动，并由海关法律系朱秋沅教授赴海关总署，通过“晨读一刻”平台专题授课1次，全国海关4</w:t>
      </w:r>
      <w:r>
        <w:rPr>
          <w:rFonts w:ascii="华文仿宋" w:hAnsi="华文仿宋" w:eastAsia="华文仿宋" w:cstheme="minorEastAsia"/>
          <w:sz w:val="28"/>
          <w:szCs w:val="28"/>
        </w:rPr>
        <w:t>0个基层党组织参加</w:t>
      </w:r>
      <w:r>
        <w:rPr>
          <w:rFonts w:hint="eastAsia" w:ascii="华文仿宋" w:hAnsi="华文仿宋" w:eastAsia="华文仿宋" w:cstheme="minorEastAsia"/>
          <w:sz w:val="28"/>
          <w:szCs w:val="28"/>
        </w:rPr>
        <w:t>，</w:t>
      </w:r>
      <w:r>
        <w:rPr>
          <w:rFonts w:ascii="华文仿宋" w:hAnsi="华文仿宋" w:eastAsia="华文仿宋" w:cstheme="minorEastAsia"/>
          <w:sz w:val="28"/>
          <w:szCs w:val="28"/>
        </w:rPr>
        <w:t>取得很好的效果</w:t>
      </w:r>
      <w:r>
        <w:rPr>
          <w:rFonts w:hint="eastAsia" w:ascii="华文仿宋" w:hAnsi="华文仿宋" w:eastAsia="华文仿宋" w:cstheme="minorEastAsia"/>
          <w:sz w:val="28"/>
          <w:szCs w:val="28"/>
        </w:rPr>
        <w:t>。</w:t>
      </w:r>
    </w:p>
    <w:p>
      <w:pPr>
        <w:spacing w:line="360" w:lineRule="auto"/>
        <w:ind w:firstLine="560" w:firstLineChars="200"/>
        <w:rPr>
          <w:rFonts w:ascii="华文仿宋" w:hAnsi="华文仿宋" w:eastAsia="华文仿宋" w:cstheme="minorEastAsia"/>
          <w:sz w:val="28"/>
          <w:szCs w:val="28"/>
        </w:rPr>
      </w:pPr>
      <w:r>
        <w:rPr>
          <w:rFonts w:hint="eastAsia" w:ascii="华文仿宋" w:hAnsi="华文仿宋" w:eastAsia="华文仿宋" w:cstheme="minorEastAsia"/>
          <w:sz w:val="28"/>
          <w:szCs w:val="28"/>
        </w:rPr>
        <w:t>同时，海关法律系教师大力参与《海关法》修改课题研究。其中，万曙春教授充分发挥学术专长多次参加总署主动披露制度、旅检渠道海关执法等重大问题的专项集中工作，提出专业法律支持。朱秋沅老师高质量完成了“海关保税制度”课题研究报告，从保税制度由来，保税制度的基本功能、世界各国保税制度比较研究的角度提出客观准确且富有参考价值的意见，为政法司顺利完成署领导交办的任务提供了有力的学术支持。</w:t>
      </w:r>
    </w:p>
    <w:p>
      <w:pPr>
        <w:spacing w:line="360" w:lineRule="auto"/>
        <w:ind w:firstLine="560" w:firstLineChars="200"/>
        <w:rPr>
          <w:rFonts w:ascii="华文仿宋" w:hAnsi="华文仿宋" w:eastAsia="华文仿宋" w:cstheme="minorEastAsia"/>
          <w:sz w:val="28"/>
          <w:szCs w:val="28"/>
        </w:rPr>
      </w:pPr>
      <w:r>
        <w:rPr>
          <w:rFonts w:hint="eastAsia" w:ascii="华文仿宋" w:hAnsi="华文仿宋" w:eastAsia="华文仿宋" w:cstheme="minorEastAsia"/>
          <w:sz w:val="28"/>
          <w:szCs w:val="28"/>
        </w:rPr>
        <w:t>此外，为全力保障全国海关法治人员执法能力提升班，海关法律系等部门从课程的设置、教师的选择以及后勤保障等方面都给予了精心的安排和细致的服务，确保培训任务如期高效完成。</w:t>
      </w:r>
    </w:p>
    <w:p>
      <w:pPr>
        <w:spacing w:line="360" w:lineRule="auto"/>
        <w:ind w:firstLine="560" w:firstLineChars="200"/>
        <w:rPr>
          <w:rFonts w:ascii="华文仿宋" w:hAnsi="华文仿宋" w:eastAsia="华文仿宋" w:cstheme="minorEastAsia"/>
          <w:sz w:val="28"/>
          <w:szCs w:val="28"/>
        </w:rPr>
      </w:pPr>
      <w:r>
        <w:rPr>
          <w:rFonts w:hint="eastAsia" w:ascii="华文仿宋" w:hAnsi="华文仿宋" w:eastAsia="华文仿宋" w:cstheme="minorEastAsia"/>
          <w:sz w:val="28"/>
          <w:szCs w:val="28"/>
        </w:rPr>
        <w:t>政法司致函称，上述任务为推进海关法治建设高质量发展做出了突出贡献。</w:t>
      </w:r>
    </w:p>
    <w:p>
      <w:pPr>
        <w:spacing w:line="360" w:lineRule="auto"/>
        <w:ind w:firstLine="560" w:firstLineChars="200"/>
        <w:rPr>
          <w:rFonts w:ascii="华文仿宋" w:hAnsi="华文仿宋" w:eastAsia="华文仿宋" w:cstheme="minorEastAsia"/>
          <w:sz w:val="28"/>
          <w:szCs w:val="28"/>
        </w:rPr>
      </w:pPr>
    </w:p>
    <w:p>
      <w:pPr>
        <w:spacing w:line="360" w:lineRule="auto"/>
        <w:ind w:firstLine="560" w:firstLineChars="200"/>
        <w:rPr>
          <w:rFonts w:asciiTheme="minorEastAsia" w:hAnsiTheme="minorEastAsia" w:cstheme="minorEastAsia"/>
          <w:sz w:val="28"/>
          <w:szCs w:val="28"/>
        </w:rPr>
      </w:pPr>
      <w:r>
        <w:rPr>
          <w:rFonts w:hint="eastAsia" w:ascii="华文仿宋" w:hAnsi="华文仿宋" w:eastAsia="华文仿宋" w:cstheme="minorEastAsia"/>
          <w:sz w:val="28"/>
          <w:szCs w:val="28"/>
        </w:rPr>
        <w:t>附：政法司两封感谢函</w:t>
      </w:r>
      <w:r>
        <w:rPr>
          <w:rFonts w:ascii="华文仿宋" w:hAnsi="华文仿宋" w:eastAsia="华文仿宋" w:cstheme="minorEastAsia"/>
          <w:sz w:val="28"/>
          <w:szCs w:val="28"/>
        </w:rPr>
        <w:br w:type="page"/>
      </w:r>
    </w:p>
    <w:p>
      <w:pPr>
        <w:ind w:firstLine="560" w:firstLineChars="200"/>
        <w:rPr>
          <w:rFonts w:asciiTheme="minorEastAsia" w:hAnsiTheme="minorEastAsia" w:cstheme="minorEastAsia"/>
          <w:sz w:val="28"/>
          <w:szCs w:val="28"/>
        </w:rPr>
      </w:pPr>
      <w:r>
        <w:rPr>
          <w:rFonts w:asciiTheme="minorEastAsia" w:hAnsiTheme="minorEastAsia" w:cstheme="minorEastAsia"/>
          <w:sz w:val="28"/>
          <w:szCs w:val="28"/>
        </w:rPr>
        <w:drawing>
          <wp:anchor distT="0" distB="0" distL="114300" distR="114300" simplePos="0" relativeHeight="251668480" behindDoc="0" locked="0" layoutInCell="1" allowOverlap="1">
            <wp:simplePos x="0" y="0"/>
            <wp:positionH relativeFrom="column">
              <wp:posOffset>95250</wp:posOffset>
            </wp:positionH>
            <wp:positionV relativeFrom="paragraph">
              <wp:posOffset>304800</wp:posOffset>
            </wp:positionV>
            <wp:extent cx="5154930" cy="7429500"/>
            <wp:effectExtent l="0" t="0" r="7620" b="0"/>
            <wp:wrapSquare wrapText="bothSides"/>
            <wp:docPr id="7" name="图片 7" descr="C:\Users\小鱼跃龙门\Desktop\fd3608fd-f6bb-4809-9c6d-931786847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小鱼跃龙门\Desktop\fd3608fd-f6bb-4809-9c6d-931786847196.png"/>
                    <pic:cNvPicPr>
                      <a:picLocks noChangeAspect="1" noChangeArrowheads="1"/>
                    </pic:cNvPicPr>
                  </pic:nvPicPr>
                  <pic:blipFill>
                    <a:blip r:embed="rId5" cstate="print">
                      <a:extLst>
                        <a:ext uri="{28A0092B-C50C-407E-A947-70E740481C1C}">
                          <a14:useLocalDpi xmlns:a14="http://schemas.microsoft.com/office/drawing/2010/main" val="0"/>
                        </a:ext>
                      </a:extLst>
                    </a:blip>
                    <a:srcRect t="13766" b="4799"/>
                    <a:stretch>
                      <a:fillRect/>
                    </a:stretch>
                  </pic:blipFill>
                  <pic:spPr>
                    <a:xfrm>
                      <a:off x="0" y="0"/>
                      <a:ext cx="5154930" cy="7429500"/>
                    </a:xfrm>
                    <a:prstGeom prst="rect">
                      <a:avLst/>
                    </a:prstGeom>
                    <a:noFill/>
                    <a:ln>
                      <a:noFill/>
                    </a:ln>
                  </pic:spPr>
                </pic:pic>
              </a:graphicData>
            </a:graphic>
          </wp:anchor>
        </w:drawing>
      </w:r>
      <w:r>
        <w:rPr>
          <w:rFonts w:asciiTheme="minorEastAsia" w:hAnsiTheme="minorEastAsia" w:cstheme="minorEastAsia"/>
          <w:sz w:val="28"/>
          <w:szCs w:val="28"/>
        </w:rPr>
        <w:br w:type="page"/>
      </w:r>
    </w:p>
    <w:p>
      <w:pPr>
        <w:rPr>
          <w:rFonts w:asciiTheme="minorEastAsia" w:hAnsiTheme="minorEastAsia" w:cstheme="minorEastAsia"/>
          <w:sz w:val="28"/>
          <w:szCs w:val="28"/>
        </w:rPr>
      </w:pPr>
      <w:r>
        <w:rPr>
          <w:rFonts w:asciiTheme="minorEastAsia" w:hAnsiTheme="minorEastAsia" w:cstheme="minorEastAsia"/>
          <w:sz w:val="28"/>
          <w:szCs w:val="28"/>
        </w:rPr>
        <w:drawing>
          <wp:anchor distT="0" distB="0" distL="114300" distR="114300" simplePos="0" relativeHeight="251666432" behindDoc="0" locked="0" layoutInCell="1" allowOverlap="1">
            <wp:simplePos x="0" y="0"/>
            <wp:positionH relativeFrom="column">
              <wp:posOffset>63500</wp:posOffset>
            </wp:positionH>
            <wp:positionV relativeFrom="paragraph">
              <wp:posOffset>330200</wp:posOffset>
            </wp:positionV>
            <wp:extent cx="5155565" cy="6724650"/>
            <wp:effectExtent l="0" t="0" r="6985" b="0"/>
            <wp:wrapSquare wrapText="bothSides"/>
            <wp:docPr id="8" name="图片 8" descr="C:\Users\小鱼跃龙门\Desktop\fe9da86d-a91a-4f1a-a4f6-a478e8cac4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小鱼跃龙门\Desktop\fe9da86d-a91a-4f1a-a4f6-a478e8cac4d4.png"/>
                    <pic:cNvPicPr>
                      <a:picLocks noChangeAspect="1" noChangeArrowheads="1"/>
                    </pic:cNvPicPr>
                  </pic:nvPicPr>
                  <pic:blipFill>
                    <a:blip r:embed="rId6" cstate="print">
                      <a:extLst>
                        <a:ext uri="{28A0092B-C50C-407E-A947-70E740481C1C}">
                          <a14:useLocalDpi xmlns:a14="http://schemas.microsoft.com/office/drawing/2010/main" val="0"/>
                        </a:ext>
                      </a:extLst>
                    </a:blip>
                    <a:srcRect t="13393" b="7220"/>
                    <a:stretch>
                      <a:fillRect/>
                    </a:stretch>
                  </pic:blipFill>
                  <pic:spPr>
                    <a:xfrm>
                      <a:off x="0" y="0"/>
                      <a:ext cx="5155565" cy="6724650"/>
                    </a:xfrm>
                    <a:prstGeom prst="rect">
                      <a:avLst/>
                    </a:prstGeom>
                    <a:noFill/>
                    <a:ln>
                      <a:noFill/>
                    </a:ln>
                  </pic:spPr>
                </pic:pic>
              </a:graphicData>
            </a:graphic>
          </wp:anchor>
        </w:drawing>
      </w:r>
    </w:p>
    <w:p>
      <w:pPr>
        <w:widowControl/>
        <w:jc w:val="left"/>
        <w:rPr>
          <w:rFonts w:asciiTheme="minorEastAsia" w:hAnsiTheme="minorEastAsia" w:cstheme="minorEastAsia"/>
          <w:sz w:val="28"/>
          <w:szCs w:val="28"/>
        </w:rPr>
      </w:pPr>
      <w:r>
        <w:rPr>
          <w:rFonts w:asciiTheme="minorEastAsia" w:hAnsiTheme="minorEastAsia" w:cstheme="minorEastAsia"/>
          <w:sz w:val="28"/>
          <w:szCs w:val="28"/>
        </w:rPr>
        <w:br w:type="page"/>
      </w:r>
      <w:r>
        <w:rPr>
          <w:rFonts w:asciiTheme="minorEastAsia" w:hAnsiTheme="minorEastAsia" w:cstheme="minorEastAsia"/>
          <w:sz w:val="28"/>
          <w:szCs w:val="28"/>
        </w:rPr>
        <w:drawing>
          <wp:anchor distT="0" distB="0" distL="114300" distR="114300" simplePos="0" relativeHeight="251664384" behindDoc="1" locked="0" layoutInCell="1" allowOverlap="1">
            <wp:simplePos x="0" y="0"/>
            <wp:positionH relativeFrom="margin">
              <wp:posOffset>25400</wp:posOffset>
            </wp:positionH>
            <wp:positionV relativeFrom="paragraph">
              <wp:posOffset>82550</wp:posOffset>
            </wp:positionV>
            <wp:extent cx="5256530" cy="6711950"/>
            <wp:effectExtent l="0" t="0" r="1270" b="0"/>
            <wp:wrapTight wrapText="bothSides">
              <wp:wrapPolygon>
                <wp:start x="0" y="0"/>
                <wp:lineTo x="0" y="21518"/>
                <wp:lineTo x="21527" y="21518"/>
                <wp:lineTo x="21527" y="0"/>
                <wp:lineTo x="0" y="0"/>
              </wp:wrapPolygon>
            </wp:wrapTight>
            <wp:docPr id="6" name="图片 6" descr="C:\Users\小鱼跃龙门\Desktop\a4443ce3-8839-4db2-897b-49491bfaff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小鱼跃龙门\Desktop\a4443ce3-8839-4db2-897b-49491bfaff51.png"/>
                    <pic:cNvPicPr>
                      <a:picLocks noChangeAspect="1" noChangeArrowheads="1"/>
                    </pic:cNvPicPr>
                  </pic:nvPicPr>
                  <pic:blipFill>
                    <a:blip r:embed="rId7" cstate="print">
                      <a:extLst>
                        <a:ext uri="{28A0092B-C50C-407E-A947-70E740481C1C}">
                          <a14:useLocalDpi xmlns:a14="http://schemas.microsoft.com/office/drawing/2010/main" val="0"/>
                        </a:ext>
                      </a:extLst>
                    </a:blip>
                    <a:srcRect t="12150" r="1676" b="6355"/>
                    <a:stretch>
                      <a:fillRect/>
                    </a:stretch>
                  </pic:blipFill>
                  <pic:spPr>
                    <a:xfrm>
                      <a:off x="0" y="0"/>
                      <a:ext cx="5256530" cy="6711950"/>
                    </a:xfrm>
                    <a:prstGeom prst="rect">
                      <a:avLst/>
                    </a:prstGeom>
                    <a:noFill/>
                    <a:ln>
                      <a:noFill/>
                    </a:ln>
                  </pic:spPr>
                </pic:pic>
              </a:graphicData>
            </a:graphic>
          </wp:anchor>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Segoe UI"/>
    <w:panose1 w:val="00000000000000000000"/>
    <w:charset w:val="00"/>
    <w:family w:val="auto"/>
    <w:pitch w:val="default"/>
    <w:sig w:usb0="00000000" w:usb1="00000000" w:usb2="0000001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04434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5D8048"/>
    <w:rsid w:val="000021D8"/>
    <w:rsid w:val="00025979"/>
    <w:rsid w:val="00074FFE"/>
    <w:rsid w:val="0009033D"/>
    <w:rsid w:val="000E42D7"/>
    <w:rsid w:val="00182A1F"/>
    <w:rsid w:val="00262A4A"/>
    <w:rsid w:val="002938E0"/>
    <w:rsid w:val="003A4DB6"/>
    <w:rsid w:val="004267E9"/>
    <w:rsid w:val="00554B9F"/>
    <w:rsid w:val="00556DBB"/>
    <w:rsid w:val="00674CD1"/>
    <w:rsid w:val="0070159A"/>
    <w:rsid w:val="00800CB6"/>
    <w:rsid w:val="0080456E"/>
    <w:rsid w:val="008A535C"/>
    <w:rsid w:val="0098450A"/>
    <w:rsid w:val="009F76DE"/>
    <w:rsid w:val="00A442A7"/>
    <w:rsid w:val="00A75754"/>
    <w:rsid w:val="00A8551C"/>
    <w:rsid w:val="00B02888"/>
    <w:rsid w:val="00B51AB2"/>
    <w:rsid w:val="00B720A0"/>
    <w:rsid w:val="00D12FA0"/>
    <w:rsid w:val="00D23D09"/>
    <w:rsid w:val="00D603A9"/>
    <w:rsid w:val="00D72755"/>
    <w:rsid w:val="00D73AF6"/>
    <w:rsid w:val="00D74557"/>
    <w:rsid w:val="00DA0081"/>
    <w:rsid w:val="00DA2D7A"/>
    <w:rsid w:val="00E40E24"/>
    <w:rsid w:val="00EF1956"/>
    <w:rsid w:val="1B5D8048"/>
    <w:rsid w:val="470B501E"/>
    <w:rsid w:val="5DBC1E11"/>
    <w:rsid w:val="67EFAD5E"/>
    <w:rsid w:val="67F7F3CA"/>
    <w:rsid w:val="AF5EAFBD"/>
    <w:rsid w:val="DBDA6AEC"/>
    <w:rsid w:val="E747B016"/>
    <w:rsid w:val="FBFB2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character" w:customStyle="1" w:styleId="8">
    <w:name w:val="页眉 字符"/>
    <w:basedOn w:val="6"/>
    <w:link w:val="3"/>
    <w:uiPriority w:val="0"/>
    <w:rPr>
      <w:rFonts w:asciiTheme="minorHAnsi" w:hAnsiTheme="minorHAnsi" w:eastAsiaTheme="minorEastAsia" w:cstheme="minorBidi"/>
      <w:kern w:val="2"/>
      <w:sz w:val="18"/>
      <w:szCs w:val="18"/>
    </w:rPr>
  </w:style>
  <w:style w:type="character" w:customStyle="1" w:styleId="9">
    <w:name w:val="页脚 字符"/>
    <w:basedOn w:val="6"/>
    <w:link w:val="2"/>
    <w:uiPriority w:val="99"/>
    <w:rPr>
      <w:rFonts w:asciiTheme="minorHAnsi" w:hAnsiTheme="minorHAnsi" w:eastAsiaTheme="minorEastAsia" w:cstheme="minorBidi"/>
      <w:kern w:val="2"/>
      <w:sz w:val="18"/>
      <w:szCs w:val="18"/>
    </w:rPr>
  </w:style>
  <w:style w:type="character" w:customStyle="1" w:styleId="10">
    <w:name w:val="style4 style8"/>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82</Words>
  <Characters>470</Characters>
  <Lines>3</Lines>
  <Paragraphs>1</Paragraphs>
  <TotalTime>3</TotalTime>
  <ScaleCrop>false</ScaleCrop>
  <LinksUpToDate>false</LinksUpToDate>
  <CharactersWithSpaces>551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2020-03-07T07:18:00Z</dcterms:created>
  <dc:creator>mac</dc:creator>
  <cp:lastModifiedBy>余越</cp:lastModifiedBy>
  <dcterms:modified xsi:type="dcterms:W3CDTF">2020-07-09T02:51:38Z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