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8306" w:type="dxa"/>
        <w:tblInd w:w="0" w:type="dxa"/>
        <w:tblBorders>
          <w:top w:val="none" w:color="auto" w:sz="0" w:space="0"/>
          <w:left w:val="none" w:color="auto" w:sz="0" w:space="0"/>
          <w:bottom w:val="thinThickSmallGap" w:color="FF0000" w:sz="24" w:space="0"/>
          <w:right w:val="none" w:color="auto" w:sz="0" w:space="0"/>
          <w:insideH w:val="none" w:color="auto" w:sz="0" w:space="0"/>
          <w:insideV w:val="thinThickSmallGap" w:color="FF0000" w:sz="24" w:space="0"/>
        </w:tblBorders>
        <w:tblLayout w:type="fixed"/>
        <w:tblCellMar>
          <w:top w:w="0" w:type="dxa"/>
          <w:left w:w="108" w:type="dxa"/>
          <w:bottom w:w="0" w:type="dxa"/>
          <w:right w:w="108" w:type="dxa"/>
        </w:tblCellMar>
      </w:tblPr>
      <w:tblGrid>
        <w:gridCol w:w="5264"/>
        <w:gridCol w:w="3042"/>
      </w:tblGrid>
      <w:tr>
        <w:tblPrEx>
          <w:tblBorders>
            <w:top w:val="none" w:color="auto" w:sz="0" w:space="0"/>
            <w:left w:val="none" w:color="auto" w:sz="0" w:space="0"/>
            <w:bottom w:val="thinThickSmallGap" w:color="FF0000" w:sz="24" w:space="0"/>
            <w:right w:val="none" w:color="auto" w:sz="0" w:space="0"/>
            <w:insideH w:val="none" w:color="auto" w:sz="0" w:space="0"/>
            <w:insideV w:val="thinThickSmallGap" w:color="FF0000" w:sz="24" w:space="0"/>
          </w:tblBorders>
          <w:tblLayout w:type="fixed"/>
          <w:tblCellMar>
            <w:top w:w="0" w:type="dxa"/>
            <w:left w:w="108" w:type="dxa"/>
            <w:bottom w:w="0" w:type="dxa"/>
            <w:right w:w="108" w:type="dxa"/>
          </w:tblCellMar>
        </w:tblPrEx>
        <w:trPr>
          <w:trHeight w:val="983" w:hRule="atLeast"/>
        </w:trPr>
        <w:tc>
          <w:tcPr>
            <w:tcW w:w="8306" w:type="dxa"/>
            <w:gridSpan w:val="2"/>
            <w:tcBorders>
              <w:bottom w:val="nil"/>
            </w:tcBorders>
          </w:tcPr>
          <w:p>
            <w:pPr>
              <w:jc w:val="center"/>
              <w:rPr>
                <w:rFonts w:ascii="方正小标宋_GBK" w:eastAsia="方正小标宋_GBK"/>
                <w:color w:val="FF0000"/>
                <w:spacing w:val="30"/>
                <w:sz w:val="36"/>
                <w:szCs w:val="16"/>
              </w:rPr>
            </w:pPr>
            <w:r>
              <w:rPr>
                <w:rFonts w:hint="eastAsia" w:ascii="方正小标宋_GBK" w:eastAsia="方正小标宋_GBK"/>
                <w:color w:val="FF0000"/>
                <w:spacing w:val="30"/>
                <w:sz w:val="32"/>
                <w:szCs w:val="16"/>
              </w:rPr>
              <w:t>中共上海海关学院海关与公共经济学院党支部</w:t>
            </w:r>
          </w:p>
          <w:p>
            <w:pPr>
              <w:jc w:val="center"/>
              <w:rPr>
                <w:rFonts w:ascii="方正黑体_GBK" w:eastAsia="方正黑体_GBK" w:hAnsiTheme="minorEastAsia"/>
                <w:color w:val="FF0000"/>
                <w:sz w:val="56"/>
              </w:rPr>
            </w:pPr>
            <w:r>
              <w:rPr>
                <w:rFonts w:hint="eastAsia" w:ascii="方正小标宋_GBK" w:eastAsia="方正小标宋_GBK"/>
                <w:color w:val="FF0000"/>
                <w:spacing w:val="30"/>
                <w:sz w:val="52"/>
              </w:rPr>
              <w:t>工作简报</w:t>
            </w:r>
          </w:p>
        </w:tc>
      </w:tr>
      <w:tr>
        <w:tblPrEx>
          <w:tblBorders>
            <w:top w:val="none" w:color="auto" w:sz="0" w:space="0"/>
            <w:left w:val="none" w:color="auto" w:sz="0" w:space="0"/>
            <w:bottom w:val="thinThickSmallGap" w:color="FF0000" w:sz="24" w:space="0"/>
            <w:right w:val="none" w:color="auto" w:sz="0" w:space="0"/>
            <w:insideH w:val="none" w:color="auto" w:sz="0" w:space="0"/>
            <w:insideV w:val="thinThickSmallGap" w:color="FF0000" w:sz="24" w:space="0"/>
          </w:tblBorders>
          <w:tblLayout w:type="fixed"/>
          <w:tblCellMar>
            <w:top w:w="0" w:type="dxa"/>
            <w:left w:w="108" w:type="dxa"/>
            <w:bottom w:w="0" w:type="dxa"/>
            <w:right w:w="108" w:type="dxa"/>
          </w:tblCellMar>
        </w:tblPrEx>
        <w:trPr>
          <w:trHeight w:val="705" w:hRule="atLeast"/>
        </w:trPr>
        <w:tc>
          <w:tcPr>
            <w:tcW w:w="5264" w:type="dxa"/>
            <w:tcBorders>
              <w:top w:val="nil"/>
              <w:bottom w:val="thinThickSmallGap" w:color="FF0000" w:sz="24" w:space="0"/>
              <w:right w:val="nil"/>
            </w:tcBorders>
          </w:tcPr>
          <w:p>
            <w:pPr>
              <w:jc w:val="left"/>
              <w:rPr>
                <w:rFonts w:ascii="方正黑体_GBK" w:eastAsia="方正黑体_GBK" w:hAnsiTheme="minorEastAsia"/>
                <w:color w:val="FF0000"/>
                <w:sz w:val="28"/>
              </w:rPr>
            </w:pPr>
            <w:r>
              <w:rPr>
                <w:rFonts w:hint="eastAsia" w:ascii="方正黑体_GBK" w:eastAsia="方正黑体_GBK" w:hAnsiTheme="minorEastAsia"/>
                <w:color w:val="FF0000"/>
                <w:sz w:val="28"/>
              </w:rPr>
              <w:t>2019/2020学年第</w:t>
            </w:r>
            <w:r>
              <w:rPr>
                <w:rFonts w:hint="eastAsia" w:ascii="方正黑体_GBK" w:eastAsia="方正黑体_GBK" w:hAnsiTheme="minorEastAsia"/>
                <w:color w:val="FF0000"/>
                <w:sz w:val="28"/>
                <w:lang w:val="en-US" w:eastAsia="zh-CN"/>
              </w:rPr>
              <w:t>二</w:t>
            </w:r>
            <w:r>
              <w:rPr>
                <w:rFonts w:hint="eastAsia" w:ascii="方正黑体_GBK" w:eastAsia="方正黑体_GBK" w:hAnsiTheme="minorEastAsia"/>
                <w:color w:val="FF0000"/>
                <w:sz w:val="28"/>
              </w:rPr>
              <w:t>学期 第</w:t>
            </w:r>
            <w:r>
              <w:rPr>
                <w:rFonts w:hint="eastAsia" w:ascii="方正黑体_GBK" w:eastAsia="方正黑体_GBK" w:hAnsiTheme="minorEastAsia"/>
                <w:color w:val="FF0000"/>
                <w:sz w:val="28"/>
                <w:lang w:val="en-US" w:eastAsia="zh-CN"/>
              </w:rPr>
              <w:t>8</w:t>
            </w:r>
            <w:r>
              <w:rPr>
                <w:rFonts w:hint="eastAsia" w:ascii="方正黑体_GBK" w:eastAsia="方正黑体_GBK" w:hAnsiTheme="minorEastAsia"/>
                <w:color w:val="FF0000"/>
                <w:sz w:val="28"/>
              </w:rPr>
              <w:t>期</w:t>
            </w:r>
          </w:p>
        </w:tc>
        <w:tc>
          <w:tcPr>
            <w:tcW w:w="3042" w:type="dxa"/>
            <w:tcBorders>
              <w:top w:val="nil"/>
              <w:left w:val="nil"/>
              <w:bottom w:val="thinThickSmallGap" w:color="FF0000" w:sz="24" w:space="0"/>
            </w:tcBorders>
          </w:tcPr>
          <w:p>
            <w:pPr>
              <w:jc w:val="right"/>
              <w:rPr>
                <w:rFonts w:ascii="方正黑体_GBK" w:eastAsia="方正黑体_GBK" w:hAnsiTheme="minorEastAsia"/>
                <w:color w:val="FF0000"/>
                <w:sz w:val="28"/>
              </w:rPr>
            </w:pPr>
            <w:r>
              <w:rPr>
                <w:rFonts w:ascii="方正黑体_GBK" w:eastAsia="方正黑体_GBK" w:hAnsiTheme="minorEastAsia"/>
                <w:color w:val="FF0000"/>
                <w:sz w:val="28"/>
              </w:rPr>
              <w:t>20</w:t>
            </w:r>
            <w:r>
              <w:rPr>
                <w:rFonts w:hint="eastAsia" w:ascii="方正黑体_GBK" w:eastAsia="方正黑体_GBK" w:hAnsiTheme="minorEastAsia"/>
                <w:color w:val="FF0000"/>
                <w:sz w:val="28"/>
                <w:lang w:val="en-US" w:eastAsia="zh-CN"/>
              </w:rPr>
              <w:t>20</w:t>
            </w:r>
            <w:r>
              <w:rPr>
                <w:rFonts w:ascii="方正黑体_GBK" w:eastAsia="方正黑体_GBK" w:hAnsiTheme="minorEastAsia"/>
                <w:color w:val="FF0000"/>
                <w:sz w:val="28"/>
              </w:rPr>
              <w:t>年</w:t>
            </w:r>
            <w:r>
              <w:rPr>
                <w:rFonts w:hint="eastAsia" w:ascii="方正黑体_GBK" w:eastAsia="方正黑体_GBK" w:hAnsiTheme="minorEastAsia"/>
                <w:color w:val="FF0000"/>
                <w:sz w:val="28"/>
                <w:lang w:val="en-US" w:eastAsia="zh-CN"/>
              </w:rPr>
              <w:t>5</w:t>
            </w:r>
            <w:r>
              <w:rPr>
                <w:rFonts w:ascii="方正黑体_GBK" w:eastAsia="方正黑体_GBK" w:hAnsiTheme="minorEastAsia"/>
                <w:color w:val="FF0000"/>
                <w:sz w:val="28"/>
              </w:rPr>
              <w:t>月</w:t>
            </w:r>
            <w:r>
              <w:rPr>
                <w:rFonts w:hint="eastAsia" w:ascii="方正黑体_GBK" w:eastAsia="方正黑体_GBK" w:hAnsiTheme="minorEastAsia"/>
                <w:color w:val="FF0000"/>
                <w:sz w:val="28"/>
                <w:lang w:val="en-US" w:eastAsia="zh-CN"/>
              </w:rPr>
              <w:t>21</w:t>
            </w:r>
            <w:r>
              <w:rPr>
                <w:rFonts w:ascii="方正黑体_GBK" w:eastAsia="方正黑体_GBK" w:hAnsiTheme="minorEastAsia"/>
                <w:color w:val="FF0000"/>
                <w:sz w:val="28"/>
              </w:rPr>
              <w:t>日</w:t>
            </w:r>
          </w:p>
        </w:tc>
      </w:tr>
    </w:tbl>
    <w:p>
      <w:pPr>
        <w:jc w:val="center"/>
        <w:rPr>
          <w:rFonts w:hint="eastAsia" w:ascii="方正黑体_GBK" w:eastAsia="方正黑体_GBK"/>
          <w:sz w:val="32"/>
          <w:szCs w:val="24"/>
          <w:lang w:val="en-US" w:eastAsia="zh-CN"/>
        </w:rPr>
      </w:pPr>
      <w:r>
        <w:rPr>
          <w:rFonts w:hint="eastAsia" w:ascii="方正黑体_GBK" w:eastAsia="方正黑体_GBK"/>
          <w:sz w:val="32"/>
          <w:szCs w:val="24"/>
          <w:lang w:val="en-US" w:eastAsia="zh-CN"/>
        </w:rPr>
        <w:t>海关与公共经济学院组织党员在线收看市教卫党委</w:t>
      </w:r>
    </w:p>
    <w:p>
      <w:pPr>
        <w:jc w:val="center"/>
        <w:rPr>
          <w:rFonts w:hint="eastAsia" w:ascii="方正黑体_GBK" w:eastAsia="方正黑体_GBK"/>
          <w:sz w:val="32"/>
          <w:szCs w:val="24"/>
          <w:lang w:val="en-US" w:eastAsia="zh-CN"/>
        </w:rPr>
      </w:pPr>
      <w:r>
        <w:rPr>
          <w:rFonts w:hint="eastAsia" w:ascii="方正黑体_GBK" w:eastAsia="方正黑体_GBK"/>
          <w:sz w:val="32"/>
          <w:szCs w:val="24"/>
          <w:lang w:val="en-US" w:eastAsia="zh-CN"/>
        </w:rPr>
        <w:t>“初心如磐 使命在肩”专题党课</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drawing>
          <wp:anchor distT="0" distB="0" distL="114300" distR="114300" simplePos="0" relativeHeight="251660288" behindDoc="0" locked="0" layoutInCell="1" allowOverlap="1">
            <wp:simplePos x="0" y="0"/>
            <wp:positionH relativeFrom="column">
              <wp:posOffset>2298700</wp:posOffset>
            </wp:positionH>
            <wp:positionV relativeFrom="paragraph">
              <wp:posOffset>3888105</wp:posOffset>
            </wp:positionV>
            <wp:extent cx="3206750" cy="2086610"/>
            <wp:effectExtent l="0" t="0" r="1270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rcRect l="1444" t="12425" r="27222" b="13312"/>
                    <a:stretch>
                      <a:fillRect/>
                    </a:stretch>
                  </pic:blipFill>
                  <pic:spPr>
                    <a:xfrm>
                      <a:off x="0" y="0"/>
                      <a:ext cx="3206750" cy="2086610"/>
                    </a:xfrm>
                    <a:prstGeom prst="rect">
                      <a:avLst/>
                    </a:prstGeom>
                    <a:ln>
                      <a:noFill/>
                    </a:ln>
                  </pic:spPr>
                </pic:pic>
              </a:graphicData>
            </a:graphic>
          </wp:anchor>
        </w:drawing>
      </w:r>
      <w:r>
        <w:rPr>
          <w:rFonts w:hint="eastAsia" w:ascii="Times New Roman" w:hAnsi="Times New Roman" w:eastAsia="方正仿宋_GBK" w:cs="Times New Roman"/>
          <w:sz w:val="28"/>
          <w:szCs w:val="24"/>
          <w:lang w:val="en-US" w:eastAsia="zh-CN"/>
        </w:rPr>
        <w:drawing>
          <wp:anchor distT="0" distB="0" distL="114300" distR="114300" simplePos="0" relativeHeight="251656192" behindDoc="1" locked="0" layoutInCell="1" allowOverlap="1">
            <wp:simplePos x="0" y="0"/>
            <wp:positionH relativeFrom="column">
              <wp:posOffset>57150</wp:posOffset>
            </wp:positionH>
            <wp:positionV relativeFrom="paragraph">
              <wp:posOffset>773430</wp:posOffset>
            </wp:positionV>
            <wp:extent cx="3324225" cy="2476500"/>
            <wp:effectExtent l="0" t="0" r="9525" b="0"/>
            <wp:wrapTight wrapText="bothSides">
              <wp:wrapPolygon>
                <wp:start x="0" y="0"/>
                <wp:lineTo x="0" y="21434"/>
                <wp:lineTo x="21538" y="21434"/>
                <wp:lineTo x="2153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rcRect l="1264" t="19649" r="27402" b="5221"/>
                    <a:stretch>
                      <a:fillRect/>
                    </a:stretch>
                  </pic:blipFill>
                  <pic:spPr>
                    <a:xfrm>
                      <a:off x="0" y="0"/>
                      <a:ext cx="3324225" cy="2476500"/>
                    </a:xfrm>
                    <a:prstGeom prst="rect">
                      <a:avLst/>
                    </a:prstGeom>
                    <a:ln>
                      <a:noFill/>
                    </a:ln>
                  </pic:spPr>
                </pic:pic>
              </a:graphicData>
            </a:graphic>
          </wp:anchor>
        </w:drawing>
      </w:r>
      <w:r>
        <w:rPr>
          <w:rFonts w:hint="eastAsia" w:ascii="Times New Roman" w:hAnsi="Times New Roman" w:eastAsia="方正仿宋_GBK" w:cs="Times New Roman"/>
          <w:sz w:val="28"/>
          <w:szCs w:val="24"/>
          <w:lang w:val="en-US" w:eastAsia="zh-CN"/>
        </w:rPr>
        <w:t>5月21日下午，海关与公共经济学院组织党员在线收看了市教卫党委“初心如磐 使命在肩”专题党课暨“党课开讲啦”、“伟大工程”示范党课第2季启动仪式，并聆听了华山医院感染科党支部书记张文宏医生、上海市第一人民医院院长、上海援卾医疗队队长郑军华医生、上海公共卫生中心党委书记卢洪洲、华东师范大学教育学部党委书记房建军等10多名党员同志主讲的上海教卫系统医护人员、教育工作者“初心如磐 使命在肩”的抗击疫情党课分享。每一位主讲人都通过一个个感人至深的案例，讲述了上海党员医护人员、教育工作者的初心使命担当，展示了基层党组织在抗疫期间的战斗堡垒作用。</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drawing>
          <wp:anchor distT="0" distB="0" distL="114300" distR="114300" simplePos="0" relativeHeight="251664384" behindDoc="0" locked="0" layoutInCell="1" allowOverlap="1">
            <wp:simplePos x="0" y="0"/>
            <wp:positionH relativeFrom="column">
              <wp:posOffset>2028825</wp:posOffset>
            </wp:positionH>
            <wp:positionV relativeFrom="paragraph">
              <wp:posOffset>409575</wp:posOffset>
            </wp:positionV>
            <wp:extent cx="3028950" cy="2026920"/>
            <wp:effectExtent l="0" t="0" r="0" b="1143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rcRect l="1445" t="14737" r="27040" b="8688"/>
                    <a:stretch>
                      <a:fillRect/>
                    </a:stretch>
                  </pic:blipFill>
                  <pic:spPr>
                    <a:xfrm>
                      <a:off x="0" y="0"/>
                      <a:ext cx="3028950" cy="2026920"/>
                    </a:xfrm>
                    <a:prstGeom prst="rect">
                      <a:avLst/>
                    </a:prstGeom>
                    <a:ln>
                      <a:noFill/>
                    </a:ln>
                  </pic:spPr>
                </pic:pic>
              </a:graphicData>
            </a:graphic>
          </wp:anchor>
        </w:drawing>
      </w:r>
      <w:r>
        <w:rPr>
          <w:rFonts w:hint="eastAsia" w:ascii="Times New Roman" w:hAnsi="Times New Roman" w:eastAsia="方正仿宋_GBK" w:cs="Times New Roman"/>
          <w:sz w:val="28"/>
          <w:szCs w:val="24"/>
          <w:lang w:val="en-US" w:eastAsia="zh-CN"/>
        </w:rPr>
        <w:t>观看本次党课展示后，我支部党员纷纷表示我们国家能够在世界上率先较好的控制疫情的蔓延，科学谨慎的实施复工复产，并为世界各国抗击疫情提供力所能及的帮助和支持，这一切都是在以习近平总书记为核心的党中央坚强领导下取得的。</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drawing>
          <wp:anchor distT="0" distB="0" distL="114300" distR="114300" simplePos="0" relativeHeight="251665408" behindDoc="1" locked="0" layoutInCell="1" allowOverlap="1">
            <wp:simplePos x="0" y="0"/>
            <wp:positionH relativeFrom="column">
              <wp:posOffset>53340</wp:posOffset>
            </wp:positionH>
            <wp:positionV relativeFrom="paragraph">
              <wp:posOffset>194310</wp:posOffset>
            </wp:positionV>
            <wp:extent cx="3405505" cy="2422525"/>
            <wp:effectExtent l="0" t="0" r="4445" b="15875"/>
            <wp:wrapTight wrapText="bothSides">
              <wp:wrapPolygon>
                <wp:start x="0" y="0"/>
                <wp:lineTo x="0" y="21402"/>
                <wp:lineTo x="21507" y="21402"/>
                <wp:lineTo x="21507" y="0"/>
                <wp:lineTo x="0" y="0"/>
              </wp:wrapPolygon>
            </wp:wrapTight>
            <wp:docPr id="3" name="图片 3" descr="企业微信截图_1590048566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微信截图_15900485669161"/>
                    <pic:cNvPicPr>
                      <a:picLocks noChangeAspect="1"/>
                    </pic:cNvPicPr>
                  </pic:nvPicPr>
                  <pic:blipFill>
                    <a:blip r:embed="rId7"/>
                    <a:stretch>
                      <a:fillRect/>
                    </a:stretch>
                  </pic:blipFill>
                  <pic:spPr>
                    <a:xfrm>
                      <a:off x="0" y="0"/>
                      <a:ext cx="3405505" cy="2422525"/>
                    </a:xfrm>
                    <a:prstGeom prst="rect">
                      <a:avLst/>
                    </a:prstGeom>
                  </pic:spPr>
                </pic:pic>
              </a:graphicData>
            </a:graphic>
          </wp:anchor>
        </w:drawing>
      </w:r>
      <w:r>
        <w:rPr>
          <w:rFonts w:hint="eastAsia" w:ascii="Times New Roman" w:hAnsi="Times New Roman" w:eastAsia="方正仿宋_GBK" w:cs="Times New Roman"/>
          <w:sz w:val="28"/>
          <w:szCs w:val="24"/>
          <w:lang w:val="en-US" w:eastAsia="zh-CN"/>
        </w:rPr>
        <w:t>听了本次党课，大家认为上海作为一座国际特大型城市，能够将疫情控制在极小的范围之内，并第一时间支援湖北，体现了党的领导的重要作用，体现了以医护人员为代表的千千万万站在抗疫一线的普通党员</w:t>
      </w:r>
      <w:bookmarkStart w:id="0" w:name="_GoBack"/>
      <w:bookmarkEnd w:id="0"/>
      <w:r>
        <w:rPr>
          <w:rFonts w:hint="eastAsia" w:ascii="Times New Roman" w:hAnsi="Times New Roman" w:eastAsia="方正仿宋_GBK" w:cs="Times New Roman"/>
          <w:sz w:val="28"/>
          <w:szCs w:val="24"/>
          <w:lang w:val="en-US" w:eastAsia="zh-CN"/>
        </w:rPr>
        <w:t>的初心使命担当，体现了我们党和国家集中力量办大事的体制优势，体现了上海作为社会主义现代化都市的治理能力，为世界抗击疫情提供了中国方案，树立了典范和榜样。</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t>本次活动作为一次主题党日活动和组织生活，党员教师纷纷扫码谈体会说感受，认为是一次真实生动而感人至深的党性教育。在应对建国以来爆发的最严重的、感染最强的、规模最大的新冠疫情战斗中，充分展现了中国共产党人的初心与使命，战役成绩体现了中国共产党的强调组织力量、专业斗争的本领、牺牲的精神和坚定理想信念的力量。</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t>目前全球疫情防控形势依然严峻，需要慎终如初，砥砺前行。 我们作为高校党员教师，坚持防控疫情常态化的同时，继续做好在线教学，做到停课不停学，停课不停教，停课不停研，坚守为党育人，为国育才，履行教育报国之使命。</w:t>
      </w:r>
    </w:p>
    <w:p>
      <w:pPr>
        <w:ind w:firstLine="420"/>
        <w:rPr>
          <w:rFonts w:hint="eastAsia" w:ascii="Times New Roman" w:hAnsi="Times New Roman" w:eastAsia="方正仿宋_GBK" w:cs="Times New Roman"/>
          <w:sz w:val="28"/>
          <w:szCs w:val="24"/>
          <w:lang w:val="en-US" w:eastAsia="zh-CN"/>
        </w:rPr>
      </w:pPr>
    </w:p>
    <w:sectPr>
      <w:pgSz w:w="11906" w:h="16838"/>
      <w:pgMar w:top="1276" w:right="1800" w:bottom="1440" w:left="1800" w:header="156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altName w:val="微软雅黑"/>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Arial Unicode MS">
    <w:altName w:val="宋体"/>
    <w:panose1 w:val="020B0604020202020204"/>
    <w:charset w:val="86"/>
    <w:family w:val="auto"/>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roman"/>
    <w:pitch w:val="default"/>
    <w:sig w:usb0="A00002BF" w:usb1="38CF7CFA" w:usb2="00000016" w:usb3="00000000" w:csb0="0004000F" w:csb1="00000000"/>
  </w:font>
  <w:font w:name="华文宋体">
    <w:altName w:val="宋体"/>
    <w:panose1 w:val="02010600040101010101"/>
    <w:charset w:val="86"/>
    <w:family w:val="auto"/>
    <w:pitch w:val="default"/>
    <w:sig w:usb0="00000000" w:usb1="00000000" w:usb2="00000000" w:usb3="00000000" w:csb0="0004009F" w:csb1="DFD70000"/>
  </w:font>
  <w:font w:name="华文彩云">
    <w:altName w:val="微软雅黑"/>
    <w:panose1 w:val="02010800040101010101"/>
    <w:charset w:val="86"/>
    <w:family w:val="auto"/>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华文琥珀">
    <w:altName w:val="宋体"/>
    <w:panose1 w:val="0201080004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宋体-方正超大字符集">
    <w:altName w:val="宋体"/>
    <w:panose1 w:val="03000509000000000000"/>
    <w:charset w:val="86"/>
    <w:family w:val="auto"/>
    <w:pitch w:val="default"/>
    <w:sig w:usb0="00000000" w:usb1="0000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书宋_GBK">
    <w:altName w:val="微软雅黑"/>
    <w:panose1 w:val="03000509000000000000"/>
    <w:charset w:val="86"/>
    <w:family w:val="auto"/>
    <w:pitch w:val="default"/>
    <w:sig w:usb0="00000000" w:usb1="0000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方正舒体">
    <w:altName w:val="宋体"/>
    <w:panose1 w:val="02010601030101010101"/>
    <w:charset w:val="86"/>
    <w:family w:val="auto"/>
    <w:pitch w:val="default"/>
    <w:sig w:usb0="00000000" w:usb1="00000000" w:usb2="00000000" w:usb3="00000000" w:csb0="00040000" w:csb1="00000000"/>
  </w:font>
  <w:font w:name="方正超粗黑_GBK">
    <w:altName w:val="黑体"/>
    <w:panose1 w:val="03000509000000000000"/>
    <w:charset w:val="86"/>
    <w:family w:val="auto"/>
    <w:pitch w:val="default"/>
    <w:sig w:usb0="00000000" w:usb1="00000000" w:usb2="00000000" w:usb3="00000000" w:csb0="00040000" w:csb1="00000000"/>
  </w:font>
  <w:font w:name="方正隶书_GBK">
    <w:altName w:val="宋体"/>
    <w:panose1 w:val="03000509000000000000"/>
    <w:charset w:val="86"/>
    <w:family w:val="auto"/>
    <w:pitch w:val="default"/>
    <w:sig w:usb0="00000000" w:usb1="00000000" w:usb2="00000000" w:usb3="00000000" w:csb0="00040000" w:csb1="00000000"/>
  </w:font>
  <w:font w:name="隶书">
    <w:altName w:val="微软雅黑"/>
    <w:panose1 w:val="02010509060101010101"/>
    <w:charset w:val="86"/>
    <w:family w:val="auto"/>
    <w:pitch w:val="default"/>
    <w:sig w:usb0="00000000" w:usb1="00000000" w:usb2="00000000" w:usb3="00000000" w:csb0="00040000" w:csb1="00000000"/>
  </w:font>
  <w:font w:name="汉仪粗黑简">
    <w:altName w:val="宋体"/>
    <w:panose1 w:val="00000000000000000000"/>
    <w:charset w:val="86"/>
    <w:family w:val="modern"/>
    <w:pitch w:val="default"/>
    <w:sig w:usb0="00000000" w:usb1="00000000" w:usb2="0000001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121"/>
    <w:rsid w:val="00011F04"/>
    <w:rsid w:val="00042121"/>
    <w:rsid w:val="00046E49"/>
    <w:rsid w:val="00060BB8"/>
    <w:rsid w:val="001F1FCC"/>
    <w:rsid w:val="002E0BFD"/>
    <w:rsid w:val="002E5D16"/>
    <w:rsid w:val="003067D0"/>
    <w:rsid w:val="00311569"/>
    <w:rsid w:val="00323B12"/>
    <w:rsid w:val="00324225"/>
    <w:rsid w:val="003B2148"/>
    <w:rsid w:val="00423554"/>
    <w:rsid w:val="0045738D"/>
    <w:rsid w:val="00512511"/>
    <w:rsid w:val="0051323E"/>
    <w:rsid w:val="005C4433"/>
    <w:rsid w:val="005C6A50"/>
    <w:rsid w:val="0062565B"/>
    <w:rsid w:val="00672797"/>
    <w:rsid w:val="006B040A"/>
    <w:rsid w:val="006B32B5"/>
    <w:rsid w:val="007365E8"/>
    <w:rsid w:val="007D601E"/>
    <w:rsid w:val="0082499F"/>
    <w:rsid w:val="0083024C"/>
    <w:rsid w:val="00846399"/>
    <w:rsid w:val="00883B81"/>
    <w:rsid w:val="008B3B7F"/>
    <w:rsid w:val="008B7E36"/>
    <w:rsid w:val="008C12D2"/>
    <w:rsid w:val="00990F94"/>
    <w:rsid w:val="009D1B24"/>
    <w:rsid w:val="00A22365"/>
    <w:rsid w:val="00A313B1"/>
    <w:rsid w:val="00A532B6"/>
    <w:rsid w:val="00A56F0D"/>
    <w:rsid w:val="00A76810"/>
    <w:rsid w:val="00AA6903"/>
    <w:rsid w:val="00AD4B31"/>
    <w:rsid w:val="00AD7C65"/>
    <w:rsid w:val="00B2427E"/>
    <w:rsid w:val="00B83988"/>
    <w:rsid w:val="00BC180F"/>
    <w:rsid w:val="00BF5E58"/>
    <w:rsid w:val="00C07AE5"/>
    <w:rsid w:val="00C82F20"/>
    <w:rsid w:val="00CE3180"/>
    <w:rsid w:val="00D010B2"/>
    <w:rsid w:val="00D2687E"/>
    <w:rsid w:val="00DD6191"/>
    <w:rsid w:val="00DF76EC"/>
    <w:rsid w:val="00E30E42"/>
    <w:rsid w:val="00E66EA4"/>
    <w:rsid w:val="00F40C1B"/>
    <w:rsid w:val="00F809E9"/>
    <w:rsid w:val="00FC5833"/>
    <w:rsid w:val="00FF77C5"/>
    <w:rsid w:val="029D7CD2"/>
    <w:rsid w:val="02F50336"/>
    <w:rsid w:val="049D458A"/>
    <w:rsid w:val="05087DF5"/>
    <w:rsid w:val="0AF839A8"/>
    <w:rsid w:val="10317A44"/>
    <w:rsid w:val="1A2D108D"/>
    <w:rsid w:val="1DAF238E"/>
    <w:rsid w:val="220423FB"/>
    <w:rsid w:val="28710FD0"/>
    <w:rsid w:val="29D33A74"/>
    <w:rsid w:val="2A784036"/>
    <w:rsid w:val="2D907709"/>
    <w:rsid w:val="440E3CE0"/>
    <w:rsid w:val="4AB11036"/>
    <w:rsid w:val="4E6D7A37"/>
    <w:rsid w:val="4F8736D5"/>
    <w:rsid w:val="513B1B6D"/>
    <w:rsid w:val="538B082C"/>
    <w:rsid w:val="597B62F9"/>
    <w:rsid w:val="5EE1448E"/>
    <w:rsid w:val="5FEB063F"/>
    <w:rsid w:val="6A451BE0"/>
    <w:rsid w:val="6DEF3945"/>
    <w:rsid w:val="6E510166"/>
    <w:rsid w:val="7A123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1"/>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6"/>
    <w:link w:val="5"/>
    <w:qFormat/>
    <w:uiPriority w:val="99"/>
    <w:rPr>
      <w:sz w:val="18"/>
      <w:szCs w:val="18"/>
    </w:rPr>
  </w:style>
  <w:style w:type="character" w:customStyle="1" w:styleId="10">
    <w:name w:val="页脚 Char"/>
    <w:basedOn w:val="6"/>
    <w:link w:val="4"/>
    <w:qFormat/>
    <w:uiPriority w:val="99"/>
    <w:rPr>
      <w:sz w:val="18"/>
      <w:szCs w:val="18"/>
    </w:rPr>
  </w:style>
  <w:style w:type="character" w:customStyle="1" w:styleId="11">
    <w:name w:val="批注框文本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150</Words>
  <Characters>857</Characters>
  <Lines>7</Lines>
  <Paragraphs>2</Paragraphs>
  <ScaleCrop>false</ScaleCrop>
  <LinksUpToDate>false</LinksUpToDate>
  <CharactersWithSpaces>1005</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2019-10-16T07:54:00Z</dcterms:created>
  <dc:creator>ZYJ</dc:creator>
  <cp:lastModifiedBy>ia4xky</cp:lastModifiedBy>
  <dcterms:modified xsi:type="dcterms:W3CDTF">2020-05-21T09:58:11Z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