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校园人文景观建设一览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优美的校园人文景观潜移默化地影响着师生的品格和行为，承载着“环境育人”的重要责任。我校注重人文景观建设，运用雕塑、条幅和书画等多种形式，提升校园文化形象，增强了全体师生对校园环境的认同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163830</wp:posOffset>
            </wp:positionV>
            <wp:extent cx="4923790" cy="3208020"/>
            <wp:effectExtent l="0" t="0" r="10160" b="11430"/>
            <wp:wrapSquare wrapText="bothSides"/>
            <wp:docPr id="2" name="图片 2" descr="e5b66eecea5a1bea3e75483ea6a97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5b66eecea5a1bea3e75483ea6a97f4"/>
                    <pic:cNvPicPr>
                      <a:picLocks noChangeAspect="1"/>
                    </pic:cNvPicPr>
                  </pic:nvPicPr>
                  <pic:blipFill>
                    <a:blip r:embed="rId4"/>
                    <a:srcRect l="6511" t="9121" b="5546"/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用最简单的颜色抒发对校园最真诚的感情，校史的年轮不断向前，我们的校园情结只增不减。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121920</wp:posOffset>
            </wp:positionV>
            <wp:extent cx="5192395" cy="3207385"/>
            <wp:effectExtent l="0" t="0" r="8255" b="12065"/>
            <wp:wrapSquare wrapText="bothSides"/>
            <wp:docPr id="1" name="图片 1" descr="78225d94833357e82b4ffdd822a78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8225d94833357e82b4ffdd822a78b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2395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一代代海关人坚守国门，关魂始终是我们凝聚力量、攻坚克难的精神支柱。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925060" cy="3008630"/>
            <wp:effectExtent l="0" t="0" r="8890" b="1270"/>
            <wp:docPr id="3" name="图片 3" descr="5f83feede680f3b0b83793614331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f83feede680f3b0b8379361433178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506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讲究个人道德修养，看重个人品行操守，这是每一个海关人学习的终身课题。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131445</wp:posOffset>
            </wp:positionV>
            <wp:extent cx="4925060" cy="3285490"/>
            <wp:effectExtent l="0" t="0" r="8890" b="10160"/>
            <wp:wrapSquare wrapText="bothSides"/>
            <wp:docPr id="4" name="图片 4" descr="53b87a929f75ebd65db2734439d30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3b87a929f75ebd65db2734439d308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506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青莲湖畔，伫立的石碑标志我们对清正廉洁、风清气正的品格的不懈追求。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B4A69"/>
    <w:rsid w:val="489B4A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2019-12-25T02:25:00Z</dcterms:created>
  <dc:creator>一千米的孤独深海</dc:creator>
  <cp:lastModifiedBy>一千米的孤独深海</cp:lastModifiedBy>
  <dcterms:modified xsi:type="dcterms:W3CDTF">2019-12-25T02:53:14Z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