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FF0000"/>
          <w:sz w:val="32"/>
          <w:szCs w:val="32"/>
        </w:rPr>
      </w:pPr>
      <w:r>
        <w:rPr>
          <w:rFonts w:hint="eastAsia" w:ascii="华文行楷" w:eastAsia="华文行楷" w:cs="华文行楷"/>
          <w:color w:val="FF0000"/>
          <w:sz w:val="48"/>
          <w:szCs w:val="48"/>
        </w:rPr>
        <w:t>上海海关学院</w:t>
      </w:r>
    </w:p>
    <w:p>
      <w:pPr>
        <w:pBdr>
          <w:bottom w:val="single" w:color="auto" w:sz="4" w:space="0"/>
        </w:pBdr>
        <w:snapToGrid w:val="0"/>
        <w:spacing w:before="312" w:beforeLines="100" w:line="500" w:lineRule="exact"/>
        <w:jc w:val="center"/>
        <w:outlineLvl w:val="0"/>
        <w:rPr>
          <w:color w:val="FF0000"/>
          <w:sz w:val="44"/>
          <w:szCs w:val="44"/>
        </w:rPr>
      </w:pPr>
      <w:r>
        <w:rPr>
          <w:rFonts w:hint="eastAsia" w:ascii="黑体" w:hAnsi="黑体" w:eastAsia="黑体" w:cs="黑体"/>
          <w:color w:val="FF0000"/>
          <w:sz w:val="72"/>
          <w:szCs w:val="72"/>
        </w:rPr>
        <w:t>后勤保卫工作简报</w:t>
      </w:r>
    </w:p>
    <w:p>
      <w:pPr>
        <w:pBdr>
          <w:bottom w:val="single" w:color="auto" w:sz="4" w:space="0"/>
        </w:pBdr>
        <w:snapToGrid w:val="0"/>
        <w:spacing w:line="500" w:lineRule="exact"/>
        <w:rPr>
          <w:rFonts w:ascii="仿宋" w:hAnsi="仿宋" w:eastAsia="仿宋"/>
          <w:color w:val="444444"/>
          <w:sz w:val="28"/>
          <w:szCs w:val="28"/>
        </w:rPr>
      </w:pPr>
      <w:r>
        <w:rPr>
          <w:rFonts w:hint="eastAsia" w:ascii="宋体" w:hAnsi="宋体" w:cs="宋体"/>
          <w:b/>
          <w:bCs/>
          <w:sz w:val="28"/>
          <w:szCs w:val="28"/>
        </w:rPr>
        <w:t>后保处编</w:t>
      </w:r>
      <w:r>
        <w:rPr>
          <w:b/>
          <w:bCs/>
          <w:sz w:val="28"/>
          <w:szCs w:val="28"/>
        </w:rPr>
        <w:t xml:space="preserve">        </w:t>
      </w:r>
      <w:r>
        <w:rPr>
          <w:rFonts w:hint="eastAsia"/>
          <w:b/>
          <w:bCs/>
          <w:sz w:val="28"/>
          <w:szCs w:val="28"/>
          <w:lang w:val="en-US" w:eastAsia="zh-CN"/>
        </w:rPr>
        <w:t xml:space="preserve"> </w:t>
      </w:r>
      <w:r>
        <w:rPr>
          <w:b/>
          <w:bCs/>
          <w:sz w:val="28"/>
          <w:szCs w:val="28"/>
        </w:rPr>
        <w:t xml:space="preserve">  201</w:t>
      </w:r>
      <w:r>
        <w:rPr>
          <w:rFonts w:hint="eastAsia"/>
          <w:b/>
          <w:bCs/>
          <w:sz w:val="28"/>
          <w:szCs w:val="28"/>
          <w:lang w:val="en-US" w:eastAsia="zh-CN"/>
        </w:rPr>
        <w:t>9</w:t>
      </w:r>
      <w:r>
        <w:rPr>
          <w:rFonts w:hint="eastAsia" w:ascii="宋体" w:hAnsi="宋体" w:cs="宋体"/>
          <w:b/>
          <w:bCs/>
          <w:sz w:val="28"/>
          <w:szCs w:val="28"/>
        </w:rPr>
        <w:t>年第</w:t>
      </w:r>
      <w:r>
        <w:rPr>
          <w:rFonts w:hint="eastAsia" w:ascii="宋体" w:hAnsi="宋体" w:cs="宋体"/>
          <w:b/>
          <w:bCs/>
          <w:sz w:val="28"/>
          <w:szCs w:val="28"/>
          <w:lang w:val="en-US" w:eastAsia="zh-CN"/>
        </w:rPr>
        <w:t>12</w:t>
      </w:r>
      <w:r>
        <w:rPr>
          <w:rFonts w:hint="eastAsia" w:ascii="宋体" w:hAnsi="宋体" w:cs="宋体"/>
          <w:b/>
          <w:bCs/>
          <w:sz w:val="28"/>
          <w:szCs w:val="28"/>
        </w:rPr>
        <w:t>期</w:t>
      </w:r>
      <w:r>
        <w:rPr>
          <w:b/>
          <w:bCs/>
          <w:sz w:val="28"/>
          <w:szCs w:val="28"/>
        </w:rPr>
        <w:t xml:space="preserve">        </w:t>
      </w:r>
      <w:r>
        <w:rPr>
          <w:rFonts w:hint="eastAsia"/>
          <w:b/>
          <w:bCs/>
          <w:sz w:val="28"/>
          <w:szCs w:val="28"/>
          <w:lang w:val="en-US" w:eastAsia="zh-CN"/>
        </w:rPr>
        <w:t xml:space="preserve"> </w:t>
      </w:r>
      <w:r>
        <w:rPr>
          <w:b/>
          <w:bCs/>
          <w:sz w:val="28"/>
          <w:szCs w:val="28"/>
        </w:rPr>
        <w:t xml:space="preserve">  201</w:t>
      </w:r>
      <w:r>
        <w:rPr>
          <w:rFonts w:hint="eastAsia"/>
          <w:b/>
          <w:bCs/>
          <w:sz w:val="28"/>
          <w:szCs w:val="28"/>
          <w:lang w:val="en-US" w:eastAsia="zh-CN"/>
        </w:rPr>
        <w:t>9</w:t>
      </w:r>
      <w:r>
        <w:rPr>
          <w:rFonts w:hint="eastAsia" w:ascii="宋体" w:hAnsi="宋体" w:cs="宋体"/>
          <w:b/>
          <w:bCs/>
          <w:sz w:val="28"/>
          <w:szCs w:val="28"/>
        </w:rPr>
        <w:t>年</w:t>
      </w:r>
      <w:r>
        <w:rPr>
          <w:rFonts w:hint="eastAsia" w:ascii="宋体" w:hAnsi="宋体" w:cs="宋体"/>
          <w:b/>
          <w:bCs/>
          <w:sz w:val="28"/>
          <w:szCs w:val="28"/>
          <w:lang w:val="en-US" w:eastAsia="zh-CN"/>
        </w:rPr>
        <w:t>2</w:t>
      </w:r>
      <w:r>
        <w:rPr>
          <w:rFonts w:hint="eastAsia" w:ascii="宋体" w:hAnsi="宋体" w:cs="宋体"/>
          <w:b/>
          <w:bCs/>
          <w:sz w:val="28"/>
          <w:szCs w:val="28"/>
        </w:rPr>
        <w:t>月</w:t>
      </w:r>
      <w:r>
        <w:rPr>
          <w:rFonts w:hint="eastAsia" w:ascii="宋体" w:hAnsi="宋体" w:cs="宋体"/>
          <w:b/>
          <w:bCs/>
          <w:sz w:val="28"/>
          <w:szCs w:val="28"/>
          <w:lang w:val="en-US" w:eastAsia="zh-CN"/>
        </w:rPr>
        <w:t>27</w:t>
      </w:r>
      <w:r>
        <w:rPr>
          <w:rFonts w:hint="eastAsia" w:ascii="宋体" w:hAnsi="宋体" w:cs="宋体"/>
          <w:b/>
          <w:bCs/>
          <w:sz w:val="28"/>
          <w:szCs w:val="28"/>
        </w:rPr>
        <w:t>日</w:t>
      </w:r>
      <w:r>
        <w:rPr>
          <w:rFonts w:ascii="?????_GBK" w:hAnsi="?????_GBK" w:cs="?????_GBK"/>
          <w:b/>
          <w:bCs/>
          <w:sz w:val="36"/>
          <w:szCs w:val="36"/>
        </w:rPr>
        <w:t xml:space="preserve"> </w:t>
      </w:r>
    </w:p>
    <w:p>
      <w:pPr>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我校食堂顺利通过浦东新区食药监</w:t>
      </w:r>
    </w:p>
    <w:p>
      <w:pPr>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开学食品安全工作突击检查</w:t>
      </w:r>
    </w:p>
    <w:p>
      <w:pPr>
        <w:rPr>
          <w:sz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2019年2月26日上午，浦东新区北蔡食品药品监督管理所（简称食药监）一行两人来我校突击检查我校食堂开学准备及食品安全工作。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drawing>
          <wp:anchor distT="0" distB="0" distL="114300" distR="114300" simplePos="0" relativeHeight="251660288" behindDoc="1" locked="0" layoutInCell="1" allowOverlap="1">
            <wp:simplePos x="0" y="0"/>
            <wp:positionH relativeFrom="column">
              <wp:posOffset>2846705</wp:posOffset>
            </wp:positionH>
            <wp:positionV relativeFrom="paragraph">
              <wp:posOffset>5181600</wp:posOffset>
            </wp:positionV>
            <wp:extent cx="2425065" cy="1701165"/>
            <wp:effectExtent l="0" t="0" r="0" b="0"/>
            <wp:wrapThrough wrapText="bothSides">
              <wp:wrapPolygon>
                <wp:start x="0" y="0"/>
                <wp:lineTo x="0" y="21286"/>
                <wp:lineTo x="21379" y="21286"/>
                <wp:lineTo x="21379"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5065" cy="1701165"/>
                    </a:xfrm>
                    <a:prstGeom prst="rect">
                      <a:avLst/>
                    </a:prstGeom>
                  </pic:spPr>
                </pic:pic>
              </a:graphicData>
            </a:graphic>
          </wp:anchor>
        </w:drawing>
      </w:r>
      <w:r>
        <w:rPr>
          <w:rFonts w:hint="default"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column">
              <wp:posOffset>-29845</wp:posOffset>
            </wp:positionH>
            <wp:positionV relativeFrom="paragraph">
              <wp:posOffset>5180965</wp:posOffset>
            </wp:positionV>
            <wp:extent cx="2427605" cy="170116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7605" cy="1701165"/>
                    </a:xfrm>
                    <a:prstGeom prst="rect">
                      <a:avLst/>
                    </a:prstGeom>
                  </pic:spPr>
                </pic:pic>
              </a:graphicData>
            </a:graphic>
          </wp:anchor>
        </w:drawing>
      </w:r>
      <w:r>
        <w:rPr>
          <w:rFonts w:hint="default" w:ascii="Times New Roman" w:hAnsi="Times New Roman" w:eastAsia="方正仿宋_GBK" w:cs="Times New Roman"/>
          <w:sz w:val="32"/>
          <w:szCs w:val="32"/>
        </w:rPr>
        <w:drawing>
          <wp:anchor distT="0" distB="0" distL="114300" distR="114300" simplePos="0" relativeHeight="251658240" behindDoc="0" locked="0" layoutInCell="1" allowOverlap="1">
            <wp:simplePos x="0" y="0"/>
            <wp:positionH relativeFrom="column">
              <wp:posOffset>2824480</wp:posOffset>
            </wp:positionH>
            <wp:positionV relativeFrom="paragraph">
              <wp:posOffset>125730</wp:posOffset>
            </wp:positionV>
            <wp:extent cx="2448560" cy="1836420"/>
            <wp:effectExtent l="0" t="0" r="889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8560" cy="1836420"/>
                    </a:xfrm>
                    <a:prstGeom prst="rect">
                      <a:avLst/>
                    </a:prstGeom>
                  </pic:spPr>
                </pic:pic>
              </a:graphicData>
            </a:graphic>
          </wp:anchor>
        </w:drawing>
      </w:r>
      <w:r>
        <w:rPr>
          <w:rFonts w:hint="default" w:ascii="Times New Roman" w:hAnsi="Times New Roman" w:eastAsia="方正仿宋_GBK" w:cs="Times New Roman"/>
          <w:sz w:val="32"/>
          <w:szCs w:val="32"/>
        </w:rPr>
        <w:t>检查组一行先后对学苑餐厅、民族餐厅和博海餐厅后厨、出售间、餐具洗消间、调味品仓库、主食仓库现场，通过台帐查验、进货溯源现场抽检问询，对学校餐饮管理部门主体责任落实情况、证照是否齐全、物价公示是否透明化、食品留样是否规范、厨房、就餐场所卫生情况、从业人员健康及培训情况、垃圾分类减量处理以及特种设备安全运行情况进行全面检查。尤其是对保洁橱内经过洗消后存储备用餐具进行了微生物指标仪器检测</w:t>
      </w:r>
      <w:r>
        <w:rPr>
          <w:rFonts w:hint="eastAsia" w:ascii="Times New Roman" w:hAnsi="Times New Roman" w:eastAsia="方正仿宋_GBK" w:cs="Times New Roman"/>
          <w:sz w:val="32"/>
          <w:szCs w:val="32"/>
          <w:lang w:eastAsia="zh-CN"/>
        </w:rPr>
        <w:t>，</w:t>
      </w:r>
      <w:bookmarkStart w:id="0" w:name="_GoBack"/>
      <w:bookmarkEnd w:id="0"/>
      <w:r>
        <w:rPr>
          <w:rFonts w:hint="default" w:ascii="Times New Roman" w:hAnsi="Times New Roman" w:eastAsia="方正仿宋_GBK" w:cs="Times New Roman"/>
          <w:sz w:val="32"/>
          <w:szCs w:val="32"/>
        </w:rPr>
        <w:t>各项指标均符合国家相关规定。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检查组对我校餐饮管理部门在安全规范管理以及餐厨垃圾资源化减量处理等方面的超前意识给予充分肯定。并就进一步落实餐饮服务食品安全操作规范、食品安全追溯平台搭建等提出了具体要求。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餐饮管理部门将根据食药监的要求，结合本次检查的实际情况，进一步加强内涵建设，夯实基础管理，把食堂服务管理工作落到实处，更好地服务学校教育教学发展改革。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AB"/>
    <w:rsid w:val="00095535"/>
    <w:rsid w:val="00154947"/>
    <w:rsid w:val="004409DE"/>
    <w:rsid w:val="005A2B05"/>
    <w:rsid w:val="007379AB"/>
    <w:rsid w:val="00763F25"/>
    <w:rsid w:val="008E5271"/>
    <w:rsid w:val="00985DAB"/>
    <w:rsid w:val="00A061E9"/>
    <w:rsid w:val="00B4786D"/>
    <w:rsid w:val="00CB56CE"/>
    <w:rsid w:val="00EC1B8B"/>
    <w:rsid w:val="00F935FA"/>
    <w:rsid w:val="0B48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69</Words>
  <Characters>398</Characters>
  <Lines>3</Lines>
  <Paragraphs>1</Paragraphs>
  <TotalTime>3</TotalTime>
  <ScaleCrop>false</ScaleCrop>
  <LinksUpToDate>false</LinksUpToDate>
  <CharactersWithSpaces>466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2019-02-26T14:46:00Z</dcterms:created>
  <dc:creator>Administrator</dc:creator>
  <cp:lastModifiedBy>admin</cp:lastModifiedBy>
  <dcterms:modified xsi:type="dcterms:W3CDTF">2019-02-27T07:53:11Z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